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5207" w14:textId="77777777" w:rsidR="00453B3F" w:rsidRDefault="00000000">
      <w:pPr>
        <w:pStyle w:val="1"/>
        <w:ind w:left="2278"/>
        <w:rPr>
          <w:rFonts w:ascii="SimSun" w:eastAsia="SimSun"/>
          <w:lang w:eastAsia="zh-CN"/>
        </w:rPr>
      </w:pPr>
      <w:r>
        <w:rPr>
          <w:rFonts w:ascii="SimSun" w:eastAsia="SimSun" w:hint="eastAsia"/>
          <w:lang w:eastAsia="zh-CN"/>
        </w:rPr>
        <w:t>IS045001:2018</w:t>
      </w:r>
    </w:p>
    <w:p w14:paraId="5430BFF7" w14:textId="77777777" w:rsidR="00453B3F" w:rsidRDefault="00000000">
      <w:pPr>
        <w:spacing w:before="163"/>
        <w:ind w:left="2277" w:right="2285"/>
        <w:jc w:val="center"/>
        <w:rPr>
          <w:b/>
          <w:sz w:val="36"/>
          <w:lang w:eastAsia="zh-CN"/>
        </w:rPr>
      </w:pPr>
      <w:r>
        <w:rPr>
          <w:b/>
          <w:sz w:val="36"/>
          <w:lang w:eastAsia="zh-CN"/>
        </w:rPr>
        <w:t>申请认证基本要求</w:t>
      </w:r>
    </w:p>
    <w:p w14:paraId="6D41565F" w14:textId="77777777" w:rsidR="00453B3F" w:rsidRDefault="00000000">
      <w:pPr>
        <w:pStyle w:val="a3"/>
        <w:spacing w:before="237" w:line="242" w:lineRule="auto"/>
        <w:ind w:left="1134" w:right="113" w:hanging="420"/>
        <w:jc w:val="both"/>
        <w:rPr>
          <w:lang w:eastAsia="zh-CN"/>
        </w:rPr>
      </w:pPr>
      <w:r>
        <w:rPr>
          <w:rFonts w:ascii="Arial" w:eastAsia="Arial"/>
          <w:lang w:eastAsia="zh-CN"/>
        </w:rPr>
        <w:t>1</w:t>
      </w:r>
      <w:r>
        <w:rPr>
          <w:spacing w:val="-8"/>
          <w:lang w:eastAsia="zh-CN"/>
        </w:rPr>
        <w:t>、 组织应未列入国家信用信息严重失信主体有关名录，且建立符合标准要求的文</w:t>
      </w:r>
      <w:r>
        <w:rPr>
          <w:spacing w:val="-1"/>
          <w:lang w:eastAsia="zh-CN"/>
        </w:rPr>
        <w:t>件化职业健康安全管理体系，在申请认证之前应完成内部审核和管理评审，并</w:t>
      </w:r>
      <w:r>
        <w:rPr>
          <w:lang w:eastAsia="zh-CN"/>
        </w:rPr>
        <w:t>保证管理体系有效运行三个月以上；</w:t>
      </w:r>
    </w:p>
    <w:p w14:paraId="7E9B6D13" w14:textId="1B6A513F" w:rsidR="00453B3F" w:rsidRDefault="00000000">
      <w:pPr>
        <w:pStyle w:val="a3"/>
        <w:spacing w:before="160" w:line="244" w:lineRule="auto"/>
        <w:ind w:left="1134" w:right="114" w:hanging="420"/>
        <w:jc w:val="both"/>
        <w:rPr>
          <w:lang w:eastAsia="zh-CN"/>
        </w:rPr>
      </w:pPr>
      <w:r>
        <w:rPr>
          <w:rFonts w:ascii="Arial" w:eastAsia="Arial"/>
          <w:lang w:eastAsia="zh-CN"/>
        </w:rPr>
        <w:t>2</w:t>
      </w:r>
      <w:r>
        <w:rPr>
          <w:spacing w:val="-5"/>
          <w:lang w:eastAsia="zh-CN"/>
        </w:rPr>
        <w:t>、 组织应向</w:t>
      </w:r>
      <w:r w:rsidR="006569AA">
        <w:rPr>
          <w:rFonts w:ascii="Arial" w:hint="eastAsia"/>
          <w:spacing w:val="2"/>
          <w:lang w:eastAsia="zh-CN"/>
        </w:rPr>
        <w:t>ZOHO</w:t>
      </w:r>
      <w:r>
        <w:rPr>
          <w:spacing w:val="-4"/>
          <w:lang w:eastAsia="zh-CN"/>
        </w:rPr>
        <w:t>提供职业健康安全管理体系运行的充分信息，对于多现场应说明</w:t>
      </w:r>
      <w:r>
        <w:rPr>
          <w:lang w:eastAsia="zh-CN"/>
        </w:rPr>
        <w:t>各现场的认证范围、地址及人员分布等情况，</w:t>
      </w:r>
      <w:r w:rsidR="006569AA">
        <w:rPr>
          <w:rFonts w:ascii="Arial" w:hint="eastAsia"/>
          <w:lang w:eastAsia="zh-CN"/>
        </w:rPr>
        <w:t>ZOHO</w:t>
      </w:r>
      <w:r>
        <w:rPr>
          <w:spacing w:val="-3"/>
          <w:lang w:eastAsia="zh-CN"/>
        </w:rPr>
        <w:t>将以抽样的方式对多现场进</w:t>
      </w:r>
      <w:r>
        <w:rPr>
          <w:lang w:eastAsia="zh-CN"/>
        </w:rPr>
        <w:t>行审核；</w:t>
      </w:r>
    </w:p>
    <w:p w14:paraId="2BB467C4" w14:textId="77777777" w:rsidR="00453B3F" w:rsidRDefault="00000000">
      <w:pPr>
        <w:pStyle w:val="a3"/>
        <w:spacing w:before="152" w:line="242" w:lineRule="auto"/>
        <w:ind w:left="1134" w:right="118" w:hanging="420"/>
        <w:jc w:val="both"/>
        <w:rPr>
          <w:lang w:eastAsia="zh-CN"/>
        </w:rPr>
      </w:pPr>
      <w:r>
        <w:rPr>
          <w:rFonts w:ascii="Arial" w:eastAsia="Arial"/>
          <w:lang w:eastAsia="zh-CN"/>
        </w:rPr>
        <w:t>3</w:t>
      </w:r>
      <w:r>
        <w:rPr>
          <w:spacing w:val="-8"/>
          <w:lang w:eastAsia="zh-CN"/>
        </w:rPr>
        <w:t xml:space="preserve">、 组织自建立职业健康安全管理体系始，应保持对法律法规符合性的自我评价， </w:t>
      </w:r>
      <w:r>
        <w:rPr>
          <w:lang w:eastAsia="zh-CN"/>
        </w:rPr>
        <w:t>在不符合相关法律法规要求时应及时采取必要的纠正措施；</w:t>
      </w:r>
    </w:p>
    <w:p w14:paraId="42FD9967" w14:textId="77777777" w:rsidR="00453B3F" w:rsidRDefault="00000000">
      <w:pPr>
        <w:pStyle w:val="a3"/>
        <w:spacing w:before="159" w:line="242" w:lineRule="auto"/>
        <w:ind w:left="1134" w:right="117" w:hanging="420"/>
        <w:jc w:val="both"/>
        <w:rPr>
          <w:lang w:eastAsia="zh-CN"/>
        </w:rPr>
      </w:pPr>
      <w:r>
        <w:rPr>
          <w:rFonts w:ascii="Arial" w:eastAsia="Arial"/>
          <w:lang w:eastAsia="zh-CN"/>
        </w:rPr>
        <w:t>4</w:t>
      </w:r>
      <w:r>
        <w:rPr>
          <w:spacing w:val="-8"/>
          <w:lang w:eastAsia="zh-CN"/>
        </w:rPr>
        <w:t>、 组织管理者应能够对其职业健康安全管理体系相关的所有危险源和风险在行政</w:t>
      </w:r>
      <w:r>
        <w:rPr>
          <w:lang w:eastAsia="zh-CN"/>
        </w:rPr>
        <w:t>上、财务上承担责任；</w:t>
      </w:r>
    </w:p>
    <w:p w14:paraId="15F2DE09" w14:textId="77777777" w:rsidR="00453B3F" w:rsidRDefault="00000000">
      <w:pPr>
        <w:pStyle w:val="a3"/>
        <w:spacing w:before="159" w:line="242" w:lineRule="auto"/>
        <w:ind w:left="1134" w:right="118" w:hanging="420"/>
        <w:jc w:val="both"/>
        <w:rPr>
          <w:lang w:eastAsia="zh-CN"/>
        </w:rPr>
      </w:pPr>
      <w:r>
        <w:rPr>
          <w:rFonts w:ascii="Arial" w:eastAsia="Arial"/>
          <w:lang w:eastAsia="zh-CN"/>
        </w:rPr>
        <w:t>5</w:t>
      </w:r>
      <w:r>
        <w:rPr>
          <w:spacing w:val="-8"/>
          <w:lang w:eastAsia="zh-CN"/>
        </w:rPr>
        <w:t>、 组织管理者有权决定如何通过建立职业健康安全目标、指标和管理方案来实现</w:t>
      </w:r>
      <w:r>
        <w:rPr>
          <w:spacing w:val="-1"/>
          <w:lang w:eastAsia="zh-CN"/>
        </w:rPr>
        <w:t>其职业健康安全方针，并有权配置职业健康安全管理体系建立、实施和改进所</w:t>
      </w:r>
      <w:r>
        <w:rPr>
          <w:lang w:eastAsia="zh-CN"/>
        </w:rPr>
        <w:t>需的人、财、物和资源；对可导致危险的活动，规定其责任的界限；</w:t>
      </w:r>
    </w:p>
    <w:p w14:paraId="213CBC0A" w14:textId="77777777" w:rsidR="00453B3F" w:rsidRDefault="00000000">
      <w:pPr>
        <w:pStyle w:val="a3"/>
        <w:spacing w:before="160" w:line="244" w:lineRule="auto"/>
        <w:ind w:left="1134" w:right="118" w:hanging="420"/>
        <w:jc w:val="both"/>
        <w:rPr>
          <w:lang w:eastAsia="zh-CN"/>
        </w:rPr>
      </w:pPr>
      <w:r>
        <w:rPr>
          <w:rFonts w:ascii="Arial" w:eastAsia="Arial"/>
          <w:lang w:eastAsia="zh-CN"/>
        </w:rPr>
        <w:t>6</w:t>
      </w:r>
      <w:r>
        <w:rPr>
          <w:spacing w:val="-7"/>
          <w:lang w:eastAsia="zh-CN"/>
        </w:rPr>
        <w:t>、 没有完全纳入职业健康安全管理体系认证范围内的服务或活动的接口</w:t>
      </w:r>
      <w:r>
        <w:rPr>
          <w:lang w:eastAsia="zh-CN"/>
        </w:rPr>
        <w:t>（</w:t>
      </w:r>
      <w:r>
        <w:rPr>
          <w:spacing w:val="-5"/>
          <w:lang w:eastAsia="zh-CN"/>
        </w:rPr>
        <w:t>如，发</w:t>
      </w:r>
      <w:r>
        <w:rPr>
          <w:lang w:eastAsia="zh-CN"/>
        </w:rPr>
        <w:t>生在同一现场</w:t>
      </w:r>
      <w:r>
        <w:rPr>
          <w:spacing w:val="-120"/>
          <w:lang w:eastAsia="zh-CN"/>
        </w:rPr>
        <w:t>）</w:t>
      </w:r>
      <w:r>
        <w:rPr>
          <w:lang w:eastAsia="zh-CN"/>
        </w:rPr>
        <w:t>，应在拟认证的职业健康安全管理体系中予以说明；</w:t>
      </w:r>
    </w:p>
    <w:p w14:paraId="32068B06" w14:textId="77777777" w:rsidR="00453B3F" w:rsidRDefault="00000000">
      <w:pPr>
        <w:pStyle w:val="a3"/>
        <w:spacing w:before="153"/>
        <w:ind w:left="714"/>
        <w:rPr>
          <w:lang w:eastAsia="zh-CN"/>
        </w:rPr>
      </w:pPr>
      <w:r>
        <w:rPr>
          <w:rFonts w:ascii="Arial" w:eastAsia="Arial"/>
          <w:lang w:eastAsia="zh-CN"/>
        </w:rPr>
        <w:t>7</w:t>
      </w:r>
      <w:r>
        <w:rPr>
          <w:lang w:eastAsia="zh-CN"/>
        </w:rPr>
        <w:t>、 当决定认证的覆盖范围时，应考虑组织职业健康安全许可证的范围；</w:t>
      </w:r>
    </w:p>
    <w:p w14:paraId="40103248" w14:textId="33399B1E" w:rsidR="00453B3F" w:rsidRDefault="00000000">
      <w:pPr>
        <w:pStyle w:val="a3"/>
        <w:spacing w:before="161" w:line="242" w:lineRule="auto"/>
        <w:ind w:left="1134" w:right="111" w:hanging="420"/>
        <w:jc w:val="both"/>
        <w:rPr>
          <w:lang w:eastAsia="zh-CN"/>
        </w:rPr>
      </w:pPr>
      <w:r>
        <w:rPr>
          <w:rFonts w:ascii="Arial" w:eastAsia="Arial"/>
          <w:lang w:eastAsia="zh-CN"/>
        </w:rPr>
        <w:t>8</w:t>
      </w:r>
      <w:r>
        <w:rPr>
          <w:spacing w:val="-50"/>
          <w:lang w:eastAsia="zh-CN"/>
        </w:rPr>
        <w:t xml:space="preserve">、 </w:t>
      </w:r>
      <w:r>
        <w:rPr>
          <w:rFonts w:ascii="Arial" w:hint="eastAsia"/>
          <w:lang w:eastAsia="zh-CN"/>
        </w:rPr>
        <w:t>IS045001:2018</w:t>
      </w:r>
      <w:r>
        <w:rPr>
          <w:spacing w:val="-2"/>
          <w:lang w:eastAsia="zh-CN"/>
        </w:rPr>
        <w:t>审核是一项收集客观证据的符合性验证活动，为</w:t>
      </w:r>
      <w:r>
        <w:rPr>
          <w:spacing w:val="1"/>
          <w:lang w:eastAsia="zh-CN"/>
        </w:rPr>
        <w:t>使审核顺利进行，组织应为</w:t>
      </w:r>
      <w:r w:rsidR="006569AA">
        <w:rPr>
          <w:rFonts w:ascii="Arial" w:hint="eastAsia"/>
          <w:spacing w:val="2"/>
          <w:lang w:eastAsia="zh-CN"/>
        </w:rPr>
        <w:t>ZOHO</w:t>
      </w:r>
      <w:r>
        <w:rPr>
          <w:spacing w:val="-5"/>
          <w:lang w:eastAsia="zh-CN"/>
        </w:rPr>
        <w:t>开展初次认证审核、跟踪审核、监督审核、再</w:t>
      </w:r>
      <w:r>
        <w:rPr>
          <w:lang w:eastAsia="zh-CN"/>
        </w:rPr>
        <w:t>认证审核、特殊审核以及解决投诉等活动做出必要的安排，包括文件审核、现</w:t>
      </w:r>
      <w:r>
        <w:rPr>
          <w:spacing w:val="-1"/>
          <w:lang w:eastAsia="zh-CN"/>
        </w:rPr>
        <w:t>场审核、调阅相关记录和访问人员等各个方面。审核分为两阶段进行，第一阶</w:t>
      </w:r>
      <w:r>
        <w:rPr>
          <w:lang w:eastAsia="zh-CN"/>
        </w:rPr>
        <w:t>段包括文件和资料审核和现场访问，第二阶段为现场审核。</w:t>
      </w:r>
    </w:p>
    <w:p w14:paraId="4865CA79" w14:textId="77777777" w:rsidR="00453B3F" w:rsidRDefault="00453B3F">
      <w:pPr>
        <w:pStyle w:val="a3"/>
        <w:spacing w:before="11"/>
        <w:ind w:left="0"/>
        <w:rPr>
          <w:sz w:val="12"/>
          <w:lang w:eastAsia="zh-CN"/>
        </w:rPr>
      </w:pPr>
    </w:p>
    <w:p w14:paraId="04156764" w14:textId="77777777" w:rsidR="00453B3F" w:rsidRDefault="00000000">
      <w:pPr>
        <w:pStyle w:val="a3"/>
        <w:spacing w:before="77"/>
        <w:ind w:left="714"/>
        <w:rPr>
          <w:lang w:eastAsia="zh-CN"/>
        </w:rPr>
      </w:pPr>
      <w:r>
        <w:rPr>
          <w:rFonts w:ascii="Arial" w:eastAsia="Arial"/>
          <w:lang w:eastAsia="zh-CN"/>
        </w:rPr>
        <w:t>9</w:t>
      </w:r>
      <w:r>
        <w:rPr>
          <w:lang w:eastAsia="zh-CN"/>
        </w:rPr>
        <w:t>、 第一阶段审核的目的包括：</w:t>
      </w:r>
    </w:p>
    <w:p w14:paraId="442C1C3A" w14:textId="77777777" w:rsidR="00453B3F" w:rsidRDefault="00000000">
      <w:pPr>
        <w:pStyle w:val="a4"/>
        <w:numPr>
          <w:ilvl w:val="0"/>
          <w:numId w:val="1"/>
        </w:numPr>
        <w:tabs>
          <w:tab w:val="left" w:pos="1204"/>
        </w:tabs>
        <w:spacing w:before="82"/>
        <w:jc w:val="left"/>
        <w:rPr>
          <w:sz w:val="24"/>
          <w:lang w:eastAsia="zh-CN"/>
        </w:rPr>
      </w:pPr>
      <w:r>
        <w:rPr>
          <w:sz w:val="24"/>
          <w:lang w:eastAsia="zh-CN"/>
        </w:rPr>
        <w:t>审核申请组织的管理体系文件；</w:t>
      </w:r>
    </w:p>
    <w:p w14:paraId="6B43C00C" w14:textId="77777777" w:rsidR="00453B3F" w:rsidRDefault="00000000">
      <w:pPr>
        <w:pStyle w:val="a4"/>
        <w:numPr>
          <w:ilvl w:val="0"/>
          <w:numId w:val="1"/>
        </w:numPr>
        <w:tabs>
          <w:tab w:val="left" w:pos="1199"/>
        </w:tabs>
        <w:spacing w:before="158" w:line="364" w:lineRule="auto"/>
        <w:ind w:left="1066" w:right="112" w:hanging="360"/>
        <w:jc w:val="left"/>
        <w:rPr>
          <w:sz w:val="24"/>
          <w:lang w:eastAsia="zh-CN"/>
        </w:rPr>
      </w:pPr>
      <w:r>
        <w:rPr>
          <w:spacing w:val="-4"/>
          <w:sz w:val="24"/>
          <w:lang w:eastAsia="zh-CN"/>
        </w:rPr>
        <w:t>评价申请组织的运作场所和现场的具体情况，并与申请的人员进行讨论，以确</w:t>
      </w:r>
      <w:r>
        <w:rPr>
          <w:sz w:val="24"/>
          <w:lang w:eastAsia="zh-CN"/>
        </w:rPr>
        <w:t>定第二阶段审核的准备情况；</w:t>
      </w:r>
    </w:p>
    <w:p w14:paraId="212B8A8A" w14:textId="77777777" w:rsidR="00453B3F" w:rsidRDefault="00000000">
      <w:pPr>
        <w:pStyle w:val="a4"/>
        <w:numPr>
          <w:ilvl w:val="0"/>
          <w:numId w:val="1"/>
        </w:numPr>
        <w:tabs>
          <w:tab w:val="left" w:pos="1187"/>
        </w:tabs>
        <w:spacing w:before="1" w:line="362" w:lineRule="auto"/>
        <w:ind w:left="1066" w:right="117" w:hanging="360"/>
        <w:jc w:val="left"/>
        <w:rPr>
          <w:sz w:val="24"/>
          <w:lang w:eastAsia="zh-CN"/>
        </w:rPr>
      </w:pPr>
      <w:r>
        <w:rPr>
          <w:spacing w:val="-1"/>
          <w:sz w:val="24"/>
          <w:lang w:eastAsia="zh-CN"/>
        </w:rPr>
        <w:t>审查申请组织理解和实施标准要求的情况，特别是对管理体系的关键绩效或重</w:t>
      </w:r>
      <w:r>
        <w:rPr>
          <w:sz w:val="24"/>
          <w:lang w:eastAsia="zh-CN"/>
        </w:rPr>
        <w:t>要的因素、过程、目标和运作的识别情况；</w:t>
      </w:r>
    </w:p>
    <w:p w14:paraId="1E6EA57A" w14:textId="77777777" w:rsidR="00453B3F" w:rsidRDefault="00000000">
      <w:pPr>
        <w:pStyle w:val="a4"/>
        <w:numPr>
          <w:ilvl w:val="0"/>
          <w:numId w:val="1"/>
        </w:numPr>
        <w:tabs>
          <w:tab w:val="left" w:pos="1199"/>
        </w:tabs>
        <w:spacing w:before="5" w:line="362" w:lineRule="auto"/>
        <w:ind w:left="1066" w:right="112" w:hanging="360"/>
        <w:jc w:val="left"/>
        <w:rPr>
          <w:sz w:val="24"/>
          <w:lang w:eastAsia="zh-CN"/>
        </w:rPr>
      </w:pPr>
      <w:r>
        <w:rPr>
          <w:spacing w:val="-4"/>
          <w:sz w:val="24"/>
          <w:lang w:eastAsia="zh-CN"/>
        </w:rPr>
        <w:t>收集关于申请组织的管理体系范围、过程和场所的必要信息，以及相关的法律</w:t>
      </w:r>
      <w:r>
        <w:rPr>
          <w:sz w:val="24"/>
          <w:lang w:eastAsia="zh-CN"/>
        </w:rPr>
        <w:t>法规要求和遵守情况；</w:t>
      </w:r>
    </w:p>
    <w:p w14:paraId="15CF0EE4" w14:textId="77777777" w:rsidR="00453B3F" w:rsidRDefault="00000000">
      <w:pPr>
        <w:pStyle w:val="a4"/>
        <w:numPr>
          <w:ilvl w:val="0"/>
          <w:numId w:val="1"/>
        </w:numPr>
        <w:tabs>
          <w:tab w:val="left" w:pos="1197"/>
        </w:tabs>
        <w:spacing w:before="6"/>
        <w:ind w:left="1196" w:hanging="488"/>
        <w:jc w:val="left"/>
        <w:rPr>
          <w:sz w:val="24"/>
          <w:lang w:eastAsia="zh-CN"/>
        </w:rPr>
      </w:pPr>
      <w:r>
        <w:rPr>
          <w:spacing w:val="-1"/>
          <w:sz w:val="24"/>
          <w:lang w:eastAsia="zh-CN"/>
        </w:rPr>
        <w:t>审查第二阶段审核所需资源的配置情况，并与申请组织商定第二阶段审核的细</w:t>
      </w:r>
    </w:p>
    <w:p w14:paraId="437B04F0" w14:textId="77777777" w:rsidR="00453B3F" w:rsidRDefault="00000000">
      <w:pPr>
        <w:pStyle w:val="a3"/>
        <w:spacing w:before="158"/>
        <w:ind w:left="109"/>
      </w:pPr>
      <w:r>
        <w:t>节；</w:t>
      </w:r>
    </w:p>
    <w:p w14:paraId="6179494C" w14:textId="77777777" w:rsidR="00453B3F" w:rsidRDefault="00000000">
      <w:pPr>
        <w:pStyle w:val="a4"/>
        <w:numPr>
          <w:ilvl w:val="0"/>
          <w:numId w:val="1"/>
        </w:numPr>
        <w:tabs>
          <w:tab w:val="left" w:pos="1137"/>
        </w:tabs>
        <w:spacing w:before="160"/>
        <w:ind w:left="1136" w:hanging="431"/>
        <w:jc w:val="left"/>
        <w:rPr>
          <w:sz w:val="24"/>
          <w:lang w:eastAsia="zh-CN"/>
        </w:rPr>
      </w:pPr>
      <w:r>
        <w:rPr>
          <w:spacing w:val="-1"/>
          <w:sz w:val="24"/>
          <w:lang w:eastAsia="zh-CN"/>
        </w:rPr>
        <w:lastRenderedPageBreak/>
        <w:t>结合可能的重要危害因素充分了解申请组织的管理体系和现场运作，以便为策</w:t>
      </w:r>
    </w:p>
    <w:p w14:paraId="04FDC7D9" w14:textId="77777777" w:rsidR="00453B3F" w:rsidRDefault="00453B3F">
      <w:pPr>
        <w:rPr>
          <w:sz w:val="24"/>
          <w:lang w:eastAsia="zh-CN"/>
        </w:rPr>
        <w:sectPr w:rsidR="00453B3F">
          <w:headerReference w:type="default" r:id="rId8"/>
          <w:footerReference w:type="default" r:id="rId9"/>
          <w:type w:val="continuous"/>
          <w:pgSz w:w="11910" w:h="16840"/>
          <w:pgMar w:top="1580" w:right="1080" w:bottom="980" w:left="1360" w:header="674" w:footer="795" w:gutter="0"/>
          <w:cols w:space="720"/>
        </w:sectPr>
      </w:pPr>
    </w:p>
    <w:p w14:paraId="16E87E24" w14:textId="77777777" w:rsidR="00453B3F" w:rsidRDefault="00000000">
      <w:pPr>
        <w:pStyle w:val="a3"/>
        <w:spacing w:before="1"/>
        <w:ind w:left="0"/>
        <w:rPr>
          <w:lang w:eastAsia="zh-CN"/>
        </w:rPr>
      </w:pPr>
      <w:r>
        <w:rPr>
          <w:lang w:eastAsia="zh-CN"/>
        </w:rPr>
        <w:lastRenderedPageBreak/>
        <w:t>划第二阶段审核提供关注点；</w:t>
      </w:r>
    </w:p>
    <w:p w14:paraId="703BE84B" w14:textId="77777777" w:rsidR="00453B3F" w:rsidRDefault="00000000">
      <w:pPr>
        <w:pStyle w:val="a4"/>
        <w:numPr>
          <w:ilvl w:val="0"/>
          <w:numId w:val="1"/>
        </w:numPr>
        <w:tabs>
          <w:tab w:val="left" w:pos="1082"/>
        </w:tabs>
        <w:spacing w:before="160" w:line="362" w:lineRule="auto"/>
        <w:ind w:left="949" w:right="220" w:hanging="360"/>
        <w:jc w:val="left"/>
        <w:rPr>
          <w:sz w:val="24"/>
          <w:lang w:eastAsia="zh-CN"/>
        </w:rPr>
      </w:pPr>
      <w:r>
        <w:rPr>
          <w:spacing w:val="-1"/>
          <w:sz w:val="24"/>
          <w:lang w:eastAsia="zh-CN"/>
        </w:rPr>
        <w:t>评价申请组织是否策划和实施了内部审核与管理评审，以及管理体系的实施程</w:t>
      </w:r>
      <w:r>
        <w:rPr>
          <w:sz w:val="24"/>
          <w:lang w:eastAsia="zh-CN"/>
        </w:rPr>
        <w:t>度能否证明申请组织已为第二阶段审核作好准备。</w:t>
      </w:r>
    </w:p>
    <w:p w14:paraId="454B6E72" w14:textId="77777777" w:rsidR="00453B3F" w:rsidRDefault="00000000">
      <w:pPr>
        <w:pStyle w:val="a3"/>
        <w:spacing w:before="204"/>
        <w:ind w:left="589"/>
        <w:rPr>
          <w:lang w:eastAsia="zh-CN"/>
        </w:rPr>
      </w:pPr>
      <w:r>
        <w:rPr>
          <w:lang w:eastAsia="zh-CN"/>
        </w:rPr>
        <w:t>组织应提供包括以下资料：</w:t>
      </w:r>
    </w:p>
    <w:p w14:paraId="79D8E626" w14:textId="77777777" w:rsidR="00453B3F" w:rsidRDefault="00000000">
      <w:pPr>
        <w:pStyle w:val="a4"/>
        <w:numPr>
          <w:ilvl w:val="0"/>
          <w:numId w:val="2"/>
        </w:numPr>
        <w:tabs>
          <w:tab w:val="left" w:pos="950"/>
        </w:tabs>
        <w:spacing w:before="82" w:line="242" w:lineRule="auto"/>
        <w:ind w:right="111"/>
        <w:rPr>
          <w:sz w:val="24"/>
          <w:lang w:eastAsia="zh-CN"/>
        </w:rPr>
      </w:pPr>
      <w:r>
        <w:rPr>
          <w:sz w:val="24"/>
          <w:lang w:eastAsia="zh-CN"/>
        </w:rPr>
        <w:t>组织的营业执照或生产</w:t>
      </w:r>
      <w:r>
        <w:rPr>
          <w:rFonts w:ascii="Arial" w:eastAsia="Arial"/>
          <w:sz w:val="24"/>
          <w:lang w:eastAsia="zh-CN"/>
        </w:rPr>
        <w:t>/</w:t>
      </w:r>
      <w:r>
        <w:rPr>
          <w:sz w:val="24"/>
          <w:lang w:eastAsia="zh-CN"/>
        </w:rPr>
        <w:t>经营许可证、行业资质证书（</w:t>
      </w:r>
      <w:r>
        <w:rPr>
          <w:rFonts w:ascii="Arial" w:eastAsia="Arial"/>
          <w:sz w:val="24"/>
          <w:lang w:eastAsia="zh-CN"/>
        </w:rPr>
        <w:t>3C</w:t>
      </w:r>
      <w:r>
        <w:rPr>
          <w:rFonts w:ascii="Arial" w:eastAsia="Arial"/>
          <w:spacing w:val="41"/>
          <w:sz w:val="24"/>
          <w:lang w:eastAsia="zh-CN"/>
        </w:rPr>
        <w:t xml:space="preserve"> </w:t>
      </w:r>
      <w:r>
        <w:rPr>
          <w:spacing w:val="-2"/>
          <w:sz w:val="24"/>
          <w:lang w:eastAsia="zh-CN"/>
        </w:rPr>
        <w:t>认证证书、工业产品生</w:t>
      </w:r>
      <w:r>
        <w:rPr>
          <w:sz w:val="24"/>
          <w:lang w:eastAsia="zh-CN"/>
        </w:rPr>
        <w:t>产许可证、安全生产许可证、卫生许可证等</w:t>
      </w:r>
      <w:r>
        <w:rPr>
          <w:spacing w:val="-120"/>
          <w:sz w:val="24"/>
          <w:lang w:eastAsia="zh-CN"/>
        </w:rPr>
        <w:t>）</w:t>
      </w:r>
      <w:r>
        <w:rPr>
          <w:sz w:val="24"/>
          <w:lang w:eastAsia="zh-CN"/>
        </w:rPr>
        <w:t>；</w:t>
      </w:r>
    </w:p>
    <w:p w14:paraId="11023EBD" w14:textId="77777777" w:rsidR="00453B3F" w:rsidRDefault="00000000">
      <w:pPr>
        <w:pStyle w:val="a4"/>
        <w:numPr>
          <w:ilvl w:val="0"/>
          <w:numId w:val="2"/>
        </w:numPr>
        <w:tabs>
          <w:tab w:val="left" w:pos="950"/>
        </w:tabs>
        <w:spacing w:before="202"/>
        <w:ind w:hanging="359"/>
        <w:rPr>
          <w:sz w:val="24"/>
          <w:lang w:eastAsia="zh-CN"/>
        </w:rPr>
      </w:pPr>
      <w:r>
        <w:rPr>
          <w:sz w:val="24"/>
          <w:lang w:eastAsia="zh-CN"/>
        </w:rPr>
        <w:t>生产工艺流程图或业务流程图；</w:t>
      </w:r>
    </w:p>
    <w:p w14:paraId="1E2D80C0" w14:textId="77777777" w:rsidR="00453B3F" w:rsidRDefault="00453B3F">
      <w:pPr>
        <w:pStyle w:val="a3"/>
        <w:spacing w:before="11"/>
        <w:ind w:left="0"/>
        <w:rPr>
          <w:sz w:val="21"/>
          <w:lang w:eastAsia="zh-CN"/>
        </w:rPr>
      </w:pPr>
    </w:p>
    <w:p w14:paraId="52B1000B" w14:textId="77777777" w:rsidR="00453B3F" w:rsidRDefault="00000000">
      <w:pPr>
        <w:pStyle w:val="a4"/>
        <w:numPr>
          <w:ilvl w:val="0"/>
          <w:numId w:val="2"/>
        </w:numPr>
        <w:tabs>
          <w:tab w:val="left" w:pos="950"/>
        </w:tabs>
        <w:spacing w:before="1"/>
        <w:ind w:hanging="359"/>
        <w:rPr>
          <w:sz w:val="24"/>
        </w:rPr>
      </w:pPr>
      <w:r>
        <w:rPr>
          <w:sz w:val="24"/>
        </w:rPr>
        <w:t>厂区平面图；</w:t>
      </w:r>
    </w:p>
    <w:p w14:paraId="6B5B8BF9" w14:textId="77777777" w:rsidR="00453B3F" w:rsidRDefault="00453B3F">
      <w:pPr>
        <w:pStyle w:val="a3"/>
        <w:spacing w:before="11"/>
        <w:ind w:left="0"/>
        <w:rPr>
          <w:sz w:val="21"/>
        </w:rPr>
      </w:pPr>
    </w:p>
    <w:p w14:paraId="3215B177" w14:textId="77777777" w:rsidR="00453B3F" w:rsidRDefault="00000000">
      <w:pPr>
        <w:pStyle w:val="a4"/>
        <w:numPr>
          <w:ilvl w:val="0"/>
          <w:numId w:val="2"/>
        </w:numPr>
        <w:tabs>
          <w:tab w:val="left" w:pos="950"/>
        </w:tabs>
        <w:ind w:hanging="359"/>
        <w:rPr>
          <w:sz w:val="24"/>
        </w:rPr>
      </w:pPr>
      <w:r>
        <w:rPr>
          <w:sz w:val="24"/>
        </w:rPr>
        <w:t>社区平面图；</w:t>
      </w:r>
    </w:p>
    <w:p w14:paraId="0545EC30" w14:textId="77777777" w:rsidR="00453B3F" w:rsidRDefault="00453B3F">
      <w:pPr>
        <w:pStyle w:val="a3"/>
        <w:spacing w:before="11"/>
        <w:ind w:left="0"/>
        <w:rPr>
          <w:sz w:val="21"/>
        </w:rPr>
      </w:pPr>
    </w:p>
    <w:p w14:paraId="6682ABA0" w14:textId="77777777" w:rsidR="00453B3F" w:rsidRDefault="00000000">
      <w:pPr>
        <w:pStyle w:val="a4"/>
        <w:numPr>
          <w:ilvl w:val="0"/>
          <w:numId w:val="2"/>
        </w:numPr>
        <w:tabs>
          <w:tab w:val="left" w:pos="950"/>
        </w:tabs>
        <w:spacing w:before="1"/>
        <w:ind w:hanging="359"/>
        <w:rPr>
          <w:sz w:val="24"/>
        </w:rPr>
      </w:pPr>
      <w:r>
        <w:rPr>
          <w:sz w:val="24"/>
        </w:rPr>
        <w:t>不可接受风险清单；</w:t>
      </w:r>
    </w:p>
    <w:p w14:paraId="3DFF1030" w14:textId="77777777" w:rsidR="00453B3F" w:rsidRDefault="00453B3F">
      <w:pPr>
        <w:pStyle w:val="a3"/>
        <w:spacing w:before="11"/>
        <w:ind w:left="0"/>
        <w:rPr>
          <w:sz w:val="21"/>
        </w:rPr>
      </w:pPr>
    </w:p>
    <w:p w14:paraId="7D1CCCF6" w14:textId="77777777" w:rsidR="00453B3F" w:rsidRDefault="00000000">
      <w:pPr>
        <w:pStyle w:val="a4"/>
        <w:numPr>
          <w:ilvl w:val="0"/>
          <w:numId w:val="2"/>
        </w:numPr>
        <w:tabs>
          <w:tab w:val="left" w:pos="949"/>
          <w:tab w:val="left" w:pos="950"/>
        </w:tabs>
        <w:ind w:hanging="359"/>
        <w:rPr>
          <w:sz w:val="24"/>
          <w:lang w:eastAsia="zh-CN"/>
        </w:rPr>
      </w:pPr>
      <w:r>
        <w:rPr>
          <w:sz w:val="24"/>
          <w:lang w:eastAsia="zh-CN"/>
        </w:rPr>
        <w:t>主要有毒有害化学品清单；</w:t>
      </w:r>
    </w:p>
    <w:p w14:paraId="54EFFD2A" w14:textId="77777777" w:rsidR="00453B3F" w:rsidRDefault="00453B3F">
      <w:pPr>
        <w:pStyle w:val="a3"/>
        <w:spacing w:before="11"/>
        <w:ind w:left="0"/>
        <w:rPr>
          <w:sz w:val="21"/>
          <w:lang w:eastAsia="zh-CN"/>
        </w:rPr>
      </w:pPr>
    </w:p>
    <w:p w14:paraId="15D02195" w14:textId="77777777" w:rsidR="00453B3F" w:rsidRDefault="00000000">
      <w:pPr>
        <w:pStyle w:val="a4"/>
        <w:numPr>
          <w:ilvl w:val="0"/>
          <w:numId w:val="2"/>
        </w:numPr>
        <w:tabs>
          <w:tab w:val="left" w:pos="950"/>
        </w:tabs>
        <w:ind w:hanging="359"/>
        <w:rPr>
          <w:sz w:val="24"/>
          <w:lang w:eastAsia="zh-CN"/>
        </w:rPr>
      </w:pPr>
      <w:r>
        <w:rPr>
          <w:sz w:val="24"/>
          <w:lang w:eastAsia="zh-CN"/>
        </w:rPr>
        <w:t>适用环保法律法规及相关标准清单；</w:t>
      </w:r>
    </w:p>
    <w:p w14:paraId="6CA50520" w14:textId="77777777" w:rsidR="00453B3F" w:rsidRDefault="00453B3F">
      <w:pPr>
        <w:pStyle w:val="a3"/>
        <w:spacing w:before="12"/>
        <w:ind w:left="0"/>
        <w:rPr>
          <w:sz w:val="21"/>
          <w:lang w:eastAsia="zh-CN"/>
        </w:rPr>
      </w:pPr>
    </w:p>
    <w:p w14:paraId="11C29F14" w14:textId="77777777" w:rsidR="00453B3F" w:rsidRDefault="00000000">
      <w:pPr>
        <w:pStyle w:val="a4"/>
        <w:numPr>
          <w:ilvl w:val="0"/>
          <w:numId w:val="2"/>
        </w:numPr>
        <w:tabs>
          <w:tab w:val="left" w:pos="950"/>
        </w:tabs>
        <w:ind w:hanging="361"/>
        <w:rPr>
          <w:sz w:val="24"/>
        </w:rPr>
      </w:pPr>
      <w:r>
        <w:rPr>
          <w:sz w:val="24"/>
        </w:rPr>
        <w:t>目标、指标管理方案；</w:t>
      </w:r>
    </w:p>
    <w:p w14:paraId="725D7EE1" w14:textId="77777777" w:rsidR="00453B3F" w:rsidRDefault="00453B3F">
      <w:pPr>
        <w:pStyle w:val="a3"/>
        <w:spacing w:before="11"/>
        <w:ind w:left="0"/>
        <w:rPr>
          <w:sz w:val="21"/>
        </w:rPr>
      </w:pPr>
    </w:p>
    <w:p w14:paraId="07D97BEC" w14:textId="77777777" w:rsidR="00453B3F" w:rsidRDefault="00000000">
      <w:pPr>
        <w:pStyle w:val="a4"/>
        <w:numPr>
          <w:ilvl w:val="0"/>
          <w:numId w:val="2"/>
        </w:numPr>
        <w:tabs>
          <w:tab w:val="left" w:pos="949"/>
          <w:tab w:val="left" w:pos="950"/>
        </w:tabs>
        <w:spacing w:before="1"/>
        <w:ind w:hanging="361"/>
        <w:rPr>
          <w:sz w:val="24"/>
        </w:rPr>
      </w:pPr>
      <w:r>
        <w:rPr>
          <w:sz w:val="24"/>
        </w:rPr>
        <w:t>组织的有关背景材料；</w:t>
      </w:r>
    </w:p>
    <w:p w14:paraId="3D73BBB7" w14:textId="77777777" w:rsidR="00453B3F" w:rsidRDefault="00453B3F">
      <w:pPr>
        <w:pStyle w:val="a3"/>
        <w:spacing w:before="11"/>
        <w:ind w:left="0"/>
        <w:rPr>
          <w:sz w:val="21"/>
        </w:rPr>
      </w:pPr>
    </w:p>
    <w:p w14:paraId="1BF5310D" w14:textId="77777777" w:rsidR="00453B3F" w:rsidRDefault="00000000">
      <w:pPr>
        <w:pStyle w:val="a4"/>
        <w:numPr>
          <w:ilvl w:val="0"/>
          <w:numId w:val="2"/>
        </w:numPr>
        <w:tabs>
          <w:tab w:val="left" w:pos="949"/>
          <w:tab w:val="left" w:pos="950"/>
        </w:tabs>
        <w:spacing w:line="364" w:lineRule="auto"/>
        <w:ind w:right="113"/>
        <w:rPr>
          <w:sz w:val="24"/>
          <w:lang w:eastAsia="zh-CN"/>
        </w:rPr>
      </w:pPr>
      <w:r>
        <w:rPr>
          <w:sz w:val="24"/>
          <w:lang w:eastAsia="zh-CN"/>
        </w:rPr>
        <w:t>一段时间的绩效数据</w:t>
      </w:r>
      <w:r>
        <w:rPr>
          <w:rFonts w:ascii="Arial" w:eastAsia="Arial" w:hAnsi="Arial"/>
          <w:sz w:val="24"/>
          <w:lang w:eastAsia="zh-CN"/>
        </w:rPr>
        <w:t>―</w:t>
      </w:r>
      <w:r>
        <w:rPr>
          <w:spacing w:val="-1"/>
          <w:sz w:val="24"/>
          <w:lang w:eastAsia="zh-CN"/>
        </w:rPr>
        <w:t>如职业健康安全管理体系绩效目标达成情况和职业病检测</w:t>
      </w:r>
      <w:r>
        <w:rPr>
          <w:sz w:val="24"/>
          <w:lang w:eastAsia="zh-CN"/>
        </w:rPr>
        <w:t>报告及工作场所有害因素监测报告等；</w:t>
      </w:r>
    </w:p>
    <w:p w14:paraId="286783D6" w14:textId="77777777" w:rsidR="00453B3F" w:rsidRDefault="00000000">
      <w:pPr>
        <w:pStyle w:val="a4"/>
        <w:numPr>
          <w:ilvl w:val="0"/>
          <w:numId w:val="3"/>
        </w:numPr>
        <w:tabs>
          <w:tab w:val="left" w:pos="949"/>
          <w:tab w:val="left" w:pos="950"/>
        </w:tabs>
        <w:spacing w:before="121"/>
        <w:ind w:hanging="361"/>
        <w:jc w:val="left"/>
        <w:rPr>
          <w:sz w:val="24"/>
          <w:lang w:eastAsia="zh-CN"/>
        </w:rPr>
      </w:pPr>
      <w:r>
        <w:rPr>
          <w:sz w:val="24"/>
          <w:lang w:eastAsia="zh-CN"/>
        </w:rPr>
        <w:t>与政府部门有关的交流记录，如行政主管部门出具的安全守法证明文件：</w:t>
      </w:r>
    </w:p>
    <w:p w14:paraId="2639607E" w14:textId="77777777" w:rsidR="00453B3F" w:rsidRDefault="00453B3F">
      <w:pPr>
        <w:pStyle w:val="a3"/>
        <w:spacing w:before="12"/>
        <w:ind w:left="0"/>
        <w:rPr>
          <w:sz w:val="21"/>
          <w:lang w:eastAsia="zh-CN"/>
        </w:rPr>
      </w:pPr>
    </w:p>
    <w:p w14:paraId="02377AA6" w14:textId="77777777" w:rsidR="00453B3F" w:rsidRDefault="00000000">
      <w:pPr>
        <w:pStyle w:val="a3"/>
        <w:rPr>
          <w:lang w:eastAsia="zh-CN"/>
        </w:rPr>
      </w:pPr>
      <w:r>
        <w:rPr>
          <w:rFonts w:ascii="Arial" w:eastAsia="Arial" w:hAnsi="Arial"/>
          <w:lang w:eastAsia="zh-CN"/>
        </w:rPr>
        <w:t>―</w:t>
      </w:r>
      <w:r>
        <w:rPr>
          <w:lang w:eastAsia="zh-CN"/>
        </w:rPr>
        <w:t>职业病危害预评价报告或安全评价报告</w:t>
      </w:r>
      <w:r>
        <w:rPr>
          <w:rFonts w:ascii="Arial" w:eastAsia="Arial" w:hAnsi="Arial"/>
          <w:lang w:eastAsia="zh-CN"/>
        </w:rPr>
        <w:t>(</w:t>
      </w:r>
      <w:r>
        <w:rPr>
          <w:lang w:eastAsia="zh-CN"/>
        </w:rPr>
        <w:t>适用时</w:t>
      </w:r>
      <w:r>
        <w:rPr>
          <w:rFonts w:ascii="Arial" w:eastAsia="Arial" w:hAnsi="Arial"/>
          <w:lang w:eastAsia="zh-CN"/>
        </w:rPr>
        <w:t>)</w:t>
      </w:r>
      <w:r>
        <w:rPr>
          <w:lang w:eastAsia="zh-CN"/>
        </w:rPr>
        <w:t>；</w:t>
      </w:r>
    </w:p>
    <w:p w14:paraId="2568E09D" w14:textId="77777777" w:rsidR="00453B3F" w:rsidRDefault="00453B3F">
      <w:pPr>
        <w:pStyle w:val="a3"/>
        <w:spacing w:before="12"/>
        <w:ind w:left="0"/>
        <w:rPr>
          <w:sz w:val="21"/>
          <w:lang w:eastAsia="zh-CN"/>
        </w:rPr>
      </w:pPr>
    </w:p>
    <w:p w14:paraId="437DA441" w14:textId="77777777" w:rsidR="00453B3F" w:rsidRDefault="00000000">
      <w:pPr>
        <w:pStyle w:val="a3"/>
        <w:rPr>
          <w:lang w:eastAsia="zh-CN"/>
        </w:rPr>
      </w:pPr>
      <w:r>
        <w:rPr>
          <w:rFonts w:ascii="Arial" w:eastAsia="Arial" w:hAnsi="Arial"/>
          <w:lang w:eastAsia="zh-CN"/>
        </w:rPr>
        <w:t>―</w:t>
      </w:r>
      <w:r>
        <w:rPr>
          <w:lang w:eastAsia="zh-CN"/>
        </w:rPr>
        <w:t>通过</w:t>
      </w:r>
      <w:r>
        <w:rPr>
          <w:rFonts w:ascii="Arial" w:eastAsia="Arial" w:hAnsi="Arial"/>
          <w:spacing w:val="-1"/>
          <w:lang w:eastAsia="zh-CN"/>
        </w:rPr>
        <w:t>“</w:t>
      </w:r>
      <w:r>
        <w:rPr>
          <w:lang w:eastAsia="zh-CN"/>
        </w:rPr>
        <w:t>三同时</w:t>
      </w:r>
      <w:r>
        <w:rPr>
          <w:rFonts w:ascii="Arial" w:eastAsia="Arial" w:hAnsi="Arial"/>
          <w:spacing w:val="-1"/>
          <w:lang w:eastAsia="zh-CN"/>
        </w:rPr>
        <w:t>”</w:t>
      </w:r>
      <w:r>
        <w:rPr>
          <w:lang w:eastAsia="zh-CN"/>
        </w:rPr>
        <w:t>验收证明文件的复印件（适用时</w:t>
      </w:r>
      <w:r>
        <w:rPr>
          <w:spacing w:val="-120"/>
          <w:lang w:eastAsia="zh-CN"/>
        </w:rPr>
        <w:t>）</w:t>
      </w:r>
      <w:r>
        <w:rPr>
          <w:lang w:eastAsia="zh-CN"/>
        </w:rPr>
        <w:t>；</w:t>
      </w:r>
    </w:p>
    <w:p w14:paraId="46132B74" w14:textId="77777777" w:rsidR="00453B3F" w:rsidRDefault="00453B3F">
      <w:pPr>
        <w:pStyle w:val="a3"/>
        <w:spacing w:before="11"/>
        <w:ind w:left="0"/>
        <w:rPr>
          <w:sz w:val="21"/>
          <w:lang w:eastAsia="zh-CN"/>
        </w:rPr>
      </w:pPr>
    </w:p>
    <w:p w14:paraId="6876D2CF" w14:textId="77777777" w:rsidR="00453B3F" w:rsidRDefault="00000000">
      <w:pPr>
        <w:pStyle w:val="a3"/>
        <w:rPr>
          <w:lang w:eastAsia="zh-CN"/>
        </w:rPr>
      </w:pPr>
      <w:r>
        <w:rPr>
          <w:rFonts w:ascii="Arial" w:eastAsia="Arial" w:hAnsi="Arial"/>
          <w:lang w:eastAsia="zh-CN"/>
        </w:rPr>
        <w:t>―</w:t>
      </w:r>
      <w:r>
        <w:rPr>
          <w:lang w:eastAsia="zh-CN"/>
        </w:rPr>
        <w:t>工作场所有害因素控制指标达标排放监测报告；</w:t>
      </w:r>
    </w:p>
    <w:p w14:paraId="31824EF4" w14:textId="77777777" w:rsidR="00453B3F" w:rsidRDefault="00453B3F">
      <w:pPr>
        <w:pStyle w:val="a3"/>
        <w:spacing w:before="11"/>
        <w:ind w:left="0"/>
        <w:rPr>
          <w:sz w:val="21"/>
          <w:lang w:eastAsia="zh-CN"/>
        </w:rPr>
      </w:pPr>
    </w:p>
    <w:p w14:paraId="6F1BB4DD" w14:textId="77777777" w:rsidR="00453B3F" w:rsidRDefault="00000000">
      <w:pPr>
        <w:pStyle w:val="a3"/>
        <w:spacing w:before="1"/>
        <w:rPr>
          <w:lang w:eastAsia="zh-CN"/>
        </w:rPr>
      </w:pPr>
      <w:r>
        <w:rPr>
          <w:rFonts w:ascii="Arial" w:eastAsia="Arial" w:hAnsi="Arial"/>
          <w:lang w:eastAsia="zh-CN"/>
        </w:rPr>
        <w:t>―</w:t>
      </w:r>
      <w:r>
        <w:rPr>
          <w:lang w:eastAsia="zh-CN"/>
        </w:rPr>
        <w:t>体系运行期间未受到安全行政处罚的证明；</w:t>
      </w:r>
    </w:p>
    <w:p w14:paraId="14F67467" w14:textId="77777777" w:rsidR="00453B3F" w:rsidRDefault="00000000">
      <w:pPr>
        <w:pStyle w:val="a4"/>
        <w:numPr>
          <w:ilvl w:val="0"/>
          <w:numId w:val="3"/>
        </w:numPr>
        <w:tabs>
          <w:tab w:val="left" w:pos="870"/>
        </w:tabs>
        <w:spacing w:before="81"/>
        <w:ind w:left="870" w:hanging="401"/>
        <w:jc w:val="left"/>
        <w:rPr>
          <w:sz w:val="24"/>
          <w:lang w:eastAsia="zh-CN"/>
        </w:rPr>
      </w:pPr>
      <w:r>
        <w:rPr>
          <w:sz w:val="24"/>
          <w:lang w:eastAsia="zh-CN"/>
        </w:rPr>
        <w:t>内审报告与管理评审报告（必要时</w:t>
      </w:r>
      <w:r>
        <w:rPr>
          <w:spacing w:val="-120"/>
          <w:sz w:val="24"/>
          <w:lang w:eastAsia="zh-CN"/>
        </w:rPr>
        <w:t>）</w:t>
      </w:r>
      <w:r>
        <w:rPr>
          <w:sz w:val="24"/>
          <w:lang w:eastAsia="zh-CN"/>
        </w:rPr>
        <w:t>。</w:t>
      </w:r>
    </w:p>
    <w:sectPr w:rsidR="00453B3F">
      <w:pgSz w:w="11910" w:h="16840"/>
      <w:pgMar w:top="1580" w:right="1080" w:bottom="1000" w:left="1360" w:header="674"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86C8A" w14:textId="77777777" w:rsidR="002508B3" w:rsidRDefault="002508B3">
      <w:r>
        <w:separator/>
      </w:r>
    </w:p>
  </w:endnote>
  <w:endnote w:type="continuationSeparator" w:id="0">
    <w:p w14:paraId="31439AF1" w14:textId="77777777" w:rsidR="002508B3" w:rsidRDefault="0025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469CF" w14:textId="77777777" w:rsidR="00453B3F" w:rsidRDefault="00000000">
    <w:pPr>
      <w:pStyle w:val="a3"/>
      <w:spacing w:line="14" w:lineRule="auto"/>
      <w:ind w:left="0"/>
      <w:rPr>
        <w:sz w:val="20"/>
      </w:rPr>
    </w:pPr>
    <w:r>
      <w:pict w14:anchorId="600DB343">
        <v:shapetype id="_x0000_t202" coordsize="21600,21600" o:spt="202" path="m,l,21600r21600,l21600,xe">
          <v:stroke joinstyle="miter"/>
          <v:path gradientshapeok="t" o:connecttype="rect"/>
        </v:shapetype>
        <v:shape id="_x0000_s1033" type="#_x0000_t202" style="position:absolute;margin-left:72.45pt;margin-top:790.65pt;width:249.05pt;height:12pt;z-index:-251776000;mso-position-horizontal-relative:page;mso-position-vertical-relative:page;mso-width-relative:page;mso-height-relative:page" filled="f" stroked="f">
          <v:textbox inset="0,0,0,0">
            <w:txbxContent>
              <w:p w14:paraId="02C3B5E0" w14:textId="77777777" w:rsidR="00453B3F" w:rsidRDefault="00453B3F">
                <w:pPr>
                  <w:rPr>
                    <w:rFonts w:ascii="Times New Roman" w:eastAsia="Times New Roman"/>
                    <w:sz w:val="18"/>
                  </w:rPr>
                </w:pPr>
              </w:p>
            </w:txbxContent>
          </v:textbox>
          <w10:wrap anchorx="page" anchory="page"/>
        </v:shape>
      </w:pict>
    </w:r>
    <w:r>
      <w:pict w14:anchorId="08A306D5">
        <v:shape id="_x0000_s1034" type="#_x0000_t202" style="position:absolute;margin-left:472.6pt;margin-top:790.65pt;width:42.75pt;height:12pt;z-index:-251774976;mso-position-horizontal-relative:page;mso-position-vertical-relative:page;mso-width-relative:page;mso-height-relative:page" filled="f" stroked="f">
          <v:textbox inset="0,0,0,0">
            <w:txbxContent>
              <w:p w14:paraId="0DDC9CAC" w14:textId="77777777" w:rsidR="00453B3F" w:rsidRDefault="00000000">
                <w:pPr>
                  <w:spacing w:before="12"/>
                  <w:ind w:left="20"/>
                  <w:rPr>
                    <w:rFonts w:ascii="Times New Roman"/>
                    <w:sz w:val="18"/>
                  </w:rPr>
                </w:pPr>
                <w:r>
                  <w:rPr>
                    <w:rFonts w:ascii="Times New Roman"/>
                    <w:sz w:val="18"/>
                  </w:rPr>
                  <w:t>Page 1 of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3F418" w14:textId="77777777" w:rsidR="002508B3" w:rsidRDefault="002508B3">
      <w:r>
        <w:separator/>
      </w:r>
    </w:p>
  </w:footnote>
  <w:footnote w:type="continuationSeparator" w:id="0">
    <w:p w14:paraId="371F6404" w14:textId="77777777" w:rsidR="002508B3" w:rsidRDefault="0025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E66E" w14:textId="77777777" w:rsidR="00453B3F" w:rsidRDefault="00000000">
    <w:pPr>
      <w:pStyle w:val="a3"/>
      <w:spacing w:line="14" w:lineRule="auto"/>
      <w:ind w:left="0"/>
      <w:rPr>
        <w:sz w:val="20"/>
      </w:rPr>
    </w:pPr>
    <w:r>
      <w:pict w14:anchorId="67166669">
        <v:shapetype id="_x0000_t202" coordsize="21600,21600" o:spt="202" path="m,l,21600r21600,l21600,xe">
          <v:stroke joinstyle="miter"/>
          <v:path gradientshapeok="t" o:connecttype="rect"/>
        </v:shapetype>
        <v:shape id="_x0000_s1029" type="#_x0000_t202" style="position:absolute;margin-left:186.3pt;margin-top:47.5pt;width:37.45pt;height:13.7pt;z-index:-251780096;mso-position-horizontal-relative:page;mso-position-vertical-relative:page;mso-width-relative:page;mso-height-relative:page" filled="f" stroked="f">
          <v:textbox inset="0,0,0,0">
            <w:txbxContent>
              <w:p w14:paraId="7149C5A9" w14:textId="77777777" w:rsidR="00453B3F" w:rsidRDefault="00453B3F">
                <w:pPr>
                  <w:spacing w:before="12"/>
                  <w:rPr>
                    <w:rFonts w:ascii="Times New Roman"/>
                    <w:b/>
                    <w:sz w:val="21"/>
                  </w:rPr>
                </w:pPr>
              </w:p>
            </w:txbxContent>
          </v:textbox>
          <w10:wrap anchorx="page" anchory="page"/>
        </v:shape>
      </w:pict>
    </w:r>
    <w:r>
      <w:pict w14:anchorId="6163C2ED">
        <v:shape id="_x0000_s1030" type="#_x0000_t202" style="position:absolute;margin-left:342.95pt;margin-top:47.5pt;width:34.8pt;height:13.7pt;z-index:-251779072;mso-position-horizontal-relative:page;mso-position-vertical-relative:page;mso-width-relative:page;mso-height-relative:page" filled="f" stroked="f">
          <v:textbox inset="0,0,0,0">
            <w:txbxContent>
              <w:p w14:paraId="09015E79" w14:textId="77777777" w:rsidR="00453B3F" w:rsidRDefault="00453B3F">
                <w:pPr>
                  <w:spacing w:before="12"/>
                  <w:rPr>
                    <w:rFonts w:ascii="Times New Roman"/>
                    <w:b/>
                    <w:sz w:val="21"/>
                  </w:rPr>
                </w:pPr>
              </w:p>
            </w:txbxContent>
          </v:textbox>
          <w10:wrap anchorx="page" anchory="page"/>
        </v:shape>
      </w:pict>
    </w:r>
    <w:r>
      <w:pict w14:anchorId="4B39F6CF">
        <v:shape id="_x0000_s1031" type="#_x0000_t202" style="position:absolute;margin-left:433.7pt;margin-top:47.5pt;width:78.85pt;height:13.7pt;z-index:-251778048;mso-position-horizontal-relative:page;mso-position-vertical-relative:page;mso-width-relative:page;mso-height-relative:page" filled="f" stroked="f">
          <v:textbox inset="0,0,0,0">
            <w:txbxContent>
              <w:p w14:paraId="401CBAD9" w14:textId="77777777" w:rsidR="00453B3F" w:rsidRDefault="00453B3F">
                <w:pPr>
                  <w:spacing w:before="12"/>
                  <w:rPr>
                    <w:rFonts w:ascii="Times New Roman"/>
                    <w:b/>
                    <w:sz w:val="21"/>
                  </w:rPr>
                </w:pPr>
              </w:p>
            </w:txbxContent>
          </v:textbox>
          <w10:wrap anchorx="page" anchory="page"/>
        </v:shape>
      </w:pict>
    </w:r>
    <w:r>
      <w:pict w14:anchorId="09BE2E95">
        <v:shape id="_x0000_s1032" type="#_x0000_t202" style="position:absolute;margin-left:79.5pt;margin-top:59.35pt;width:62.7pt;height:9.25pt;z-index:-251777024;mso-position-horizontal-relative:page;mso-position-vertical-relative:page;mso-width-relative:page;mso-height-relative:page" filled="f" stroked="f">
          <v:textbox inset="0,0,0,0">
            <w:txbxContent>
              <w:p w14:paraId="09BA998C" w14:textId="77777777" w:rsidR="00453B3F" w:rsidRDefault="00453B3F">
                <w:pPr>
                  <w:spacing w:before="15"/>
                  <w:rPr>
                    <w:rFonts w:ascii="Arial"/>
                    <w:b/>
                    <w:sz w:val="13"/>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lowerLetter"/>
      <w:lvlText w:val="%1)"/>
      <w:lvlJc w:val="left"/>
      <w:pPr>
        <w:ind w:left="949" w:hanging="360"/>
        <w:jc w:val="left"/>
      </w:pPr>
      <w:rPr>
        <w:rFonts w:ascii="Arial" w:eastAsia="Arial" w:hAnsi="Arial" w:cs="Arial" w:hint="default"/>
        <w:w w:val="99"/>
        <w:sz w:val="24"/>
        <w:szCs w:val="24"/>
        <w:lang w:val="en-US" w:eastAsia="en-US" w:bidi="en-US"/>
      </w:rPr>
    </w:lvl>
    <w:lvl w:ilvl="1">
      <w:numFmt w:val="bullet"/>
      <w:lvlText w:val="•"/>
      <w:lvlJc w:val="left"/>
      <w:pPr>
        <w:ind w:left="1792" w:hanging="360"/>
      </w:pPr>
      <w:rPr>
        <w:rFonts w:hint="default"/>
        <w:lang w:val="en-US" w:eastAsia="en-US" w:bidi="en-US"/>
      </w:rPr>
    </w:lvl>
    <w:lvl w:ilvl="2">
      <w:numFmt w:val="bullet"/>
      <w:lvlText w:val="•"/>
      <w:lvlJc w:val="left"/>
      <w:pPr>
        <w:ind w:left="2645" w:hanging="360"/>
      </w:pPr>
      <w:rPr>
        <w:rFonts w:hint="default"/>
        <w:lang w:val="en-US" w:eastAsia="en-US" w:bidi="en-US"/>
      </w:rPr>
    </w:lvl>
    <w:lvl w:ilvl="3">
      <w:numFmt w:val="bullet"/>
      <w:lvlText w:val="•"/>
      <w:lvlJc w:val="left"/>
      <w:pPr>
        <w:ind w:left="3497" w:hanging="360"/>
      </w:pPr>
      <w:rPr>
        <w:rFonts w:hint="default"/>
        <w:lang w:val="en-US" w:eastAsia="en-US" w:bidi="en-US"/>
      </w:rPr>
    </w:lvl>
    <w:lvl w:ilvl="4">
      <w:numFmt w:val="bullet"/>
      <w:lvlText w:val="•"/>
      <w:lvlJc w:val="left"/>
      <w:pPr>
        <w:ind w:left="4350" w:hanging="360"/>
      </w:pPr>
      <w:rPr>
        <w:rFonts w:hint="default"/>
        <w:lang w:val="en-US" w:eastAsia="en-US" w:bidi="en-US"/>
      </w:rPr>
    </w:lvl>
    <w:lvl w:ilvl="5">
      <w:numFmt w:val="bullet"/>
      <w:lvlText w:val="•"/>
      <w:lvlJc w:val="left"/>
      <w:pPr>
        <w:ind w:left="5203" w:hanging="360"/>
      </w:pPr>
      <w:rPr>
        <w:rFonts w:hint="default"/>
        <w:lang w:val="en-US" w:eastAsia="en-US" w:bidi="en-US"/>
      </w:rPr>
    </w:lvl>
    <w:lvl w:ilvl="6">
      <w:numFmt w:val="bullet"/>
      <w:lvlText w:val="•"/>
      <w:lvlJc w:val="left"/>
      <w:pPr>
        <w:ind w:left="6055" w:hanging="360"/>
      </w:pPr>
      <w:rPr>
        <w:rFonts w:hint="default"/>
        <w:lang w:val="en-US" w:eastAsia="en-US" w:bidi="en-US"/>
      </w:rPr>
    </w:lvl>
    <w:lvl w:ilvl="7">
      <w:numFmt w:val="bullet"/>
      <w:lvlText w:val="•"/>
      <w:lvlJc w:val="left"/>
      <w:pPr>
        <w:ind w:left="6908" w:hanging="360"/>
      </w:pPr>
      <w:rPr>
        <w:rFonts w:hint="default"/>
        <w:lang w:val="en-US" w:eastAsia="en-US" w:bidi="en-US"/>
      </w:rPr>
    </w:lvl>
    <w:lvl w:ilvl="8">
      <w:numFmt w:val="bullet"/>
      <w:lvlText w:val="•"/>
      <w:lvlJc w:val="left"/>
      <w:pPr>
        <w:ind w:left="7761" w:hanging="360"/>
      </w:pPr>
      <w:rPr>
        <w:rFonts w:hint="default"/>
        <w:lang w:val="en-US" w:eastAsia="en-US" w:bidi="en-US"/>
      </w:rPr>
    </w:lvl>
  </w:abstractNum>
  <w:abstractNum w:abstractNumId="1" w15:restartNumberingAfterBreak="0">
    <w:nsid w:val="0053208E"/>
    <w:multiLevelType w:val="multilevel"/>
    <w:tmpl w:val="0053208E"/>
    <w:lvl w:ilvl="0">
      <w:start w:val="1"/>
      <w:numFmt w:val="lowerLetter"/>
      <w:lvlText w:val="%1）"/>
      <w:lvlJc w:val="left"/>
      <w:pPr>
        <w:ind w:left="1203" w:hanging="495"/>
        <w:jc w:val="right"/>
      </w:pPr>
      <w:rPr>
        <w:rFonts w:ascii="Arial" w:eastAsia="Arial" w:hAnsi="Arial" w:cs="Arial" w:hint="default"/>
        <w:w w:val="99"/>
        <w:sz w:val="24"/>
        <w:szCs w:val="24"/>
        <w:lang w:val="en-US" w:eastAsia="en-US" w:bidi="en-US"/>
      </w:rPr>
    </w:lvl>
    <w:lvl w:ilvl="1">
      <w:numFmt w:val="bullet"/>
      <w:lvlText w:val="•"/>
      <w:lvlJc w:val="left"/>
      <w:pPr>
        <w:ind w:left="2026" w:hanging="495"/>
      </w:pPr>
      <w:rPr>
        <w:rFonts w:hint="default"/>
        <w:lang w:val="en-US" w:eastAsia="en-US" w:bidi="en-US"/>
      </w:rPr>
    </w:lvl>
    <w:lvl w:ilvl="2">
      <w:numFmt w:val="bullet"/>
      <w:lvlText w:val="•"/>
      <w:lvlJc w:val="left"/>
      <w:pPr>
        <w:ind w:left="2853" w:hanging="495"/>
      </w:pPr>
      <w:rPr>
        <w:rFonts w:hint="default"/>
        <w:lang w:val="en-US" w:eastAsia="en-US" w:bidi="en-US"/>
      </w:rPr>
    </w:lvl>
    <w:lvl w:ilvl="3">
      <w:numFmt w:val="bullet"/>
      <w:lvlText w:val="•"/>
      <w:lvlJc w:val="left"/>
      <w:pPr>
        <w:ind w:left="3679" w:hanging="495"/>
      </w:pPr>
      <w:rPr>
        <w:rFonts w:hint="default"/>
        <w:lang w:val="en-US" w:eastAsia="en-US" w:bidi="en-US"/>
      </w:rPr>
    </w:lvl>
    <w:lvl w:ilvl="4">
      <w:numFmt w:val="bullet"/>
      <w:lvlText w:val="•"/>
      <w:lvlJc w:val="left"/>
      <w:pPr>
        <w:ind w:left="4506" w:hanging="495"/>
      </w:pPr>
      <w:rPr>
        <w:rFonts w:hint="default"/>
        <w:lang w:val="en-US" w:eastAsia="en-US" w:bidi="en-US"/>
      </w:rPr>
    </w:lvl>
    <w:lvl w:ilvl="5">
      <w:numFmt w:val="bullet"/>
      <w:lvlText w:val="•"/>
      <w:lvlJc w:val="left"/>
      <w:pPr>
        <w:ind w:left="5333" w:hanging="495"/>
      </w:pPr>
      <w:rPr>
        <w:rFonts w:hint="default"/>
        <w:lang w:val="en-US" w:eastAsia="en-US" w:bidi="en-US"/>
      </w:rPr>
    </w:lvl>
    <w:lvl w:ilvl="6">
      <w:numFmt w:val="bullet"/>
      <w:lvlText w:val="•"/>
      <w:lvlJc w:val="left"/>
      <w:pPr>
        <w:ind w:left="6159" w:hanging="495"/>
      </w:pPr>
      <w:rPr>
        <w:rFonts w:hint="default"/>
        <w:lang w:val="en-US" w:eastAsia="en-US" w:bidi="en-US"/>
      </w:rPr>
    </w:lvl>
    <w:lvl w:ilvl="7">
      <w:numFmt w:val="bullet"/>
      <w:lvlText w:val="•"/>
      <w:lvlJc w:val="left"/>
      <w:pPr>
        <w:ind w:left="6986" w:hanging="495"/>
      </w:pPr>
      <w:rPr>
        <w:rFonts w:hint="default"/>
        <w:lang w:val="en-US" w:eastAsia="en-US" w:bidi="en-US"/>
      </w:rPr>
    </w:lvl>
    <w:lvl w:ilvl="8">
      <w:numFmt w:val="bullet"/>
      <w:lvlText w:val="•"/>
      <w:lvlJc w:val="left"/>
      <w:pPr>
        <w:ind w:left="7813" w:hanging="495"/>
      </w:pPr>
      <w:rPr>
        <w:rFonts w:hint="default"/>
        <w:lang w:val="en-US" w:eastAsia="en-US" w:bidi="en-US"/>
      </w:rPr>
    </w:lvl>
  </w:abstractNum>
  <w:abstractNum w:abstractNumId="2" w15:restartNumberingAfterBreak="0">
    <w:nsid w:val="59ADCABA"/>
    <w:multiLevelType w:val="multilevel"/>
    <w:tmpl w:val="59ADCABA"/>
    <w:lvl w:ilvl="0">
      <w:start w:val="12"/>
      <w:numFmt w:val="lowerLetter"/>
      <w:lvlText w:val="%1)"/>
      <w:lvlJc w:val="left"/>
      <w:pPr>
        <w:ind w:left="949" w:hanging="360"/>
        <w:jc w:val="right"/>
      </w:pPr>
      <w:rPr>
        <w:rFonts w:ascii="Arial" w:eastAsia="Arial" w:hAnsi="Arial" w:cs="Arial" w:hint="default"/>
        <w:spacing w:val="-1"/>
        <w:w w:val="99"/>
        <w:sz w:val="24"/>
        <w:szCs w:val="24"/>
        <w:lang w:val="en-US" w:eastAsia="en-US" w:bidi="en-US"/>
      </w:rPr>
    </w:lvl>
    <w:lvl w:ilvl="1">
      <w:numFmt w:val="bullet"/>
      <w:lvlText w:val="•"/>
      <w:lvlJc w:val="left"/>
      <w:pPr>
        <w:ind w:left="1792" w:hanging="360"/>
      </w:pPr>
      <w:rPr>
        <w:rFonts w:hint="default"/>
        <w:lang w:val="en-US" w:eastAsia="en-US" w:bidi="en-US"/>
      </w:rPr>
    </w:lvl>
    <w:lvl w:ilvl="2">
      <w:numFmt w:val="bullet"/>
      <w:lvlText w:val="•"/>
      <w:lvlJc w:val="left"/>
      <w:pPr>
        <w:ind w:left="2645" w:hanging="360"/>
      </w:pPr>
      <w:rPr>
        <w:rFonts w:hint="default"/>
        <w:lang w:val="en-US" w:eastAsia="en-US" w:bidi="en-US"/>
      </w:rPr>
    </w:lvl>
    <w:lvl w:ilvl="3">
      <w:numFmt w:val="bullet"/>
      <w:lvlText w:val="•"/>
      <w:lvlJc w:val="left"/>
      <w:pPr>
        <w:ind w:left="3497" w:hanging="360"/>
      </w:pPr>
      <w:rPr>
        <w:rFonts w:hint="default"/>
        <w:lang w:val="en-US" w:eastAsia="en-US" w:bidi="en-US"/>
      </w:rPr>
    </w:lvl>
    <w:lvl w:ilvl="4">
      <w:numFmt w:val="bullet"/>
      <w:lvlText w:val="•"/>
      <w:lvlJc w:val="left"/>
      <w:pPr>
        <w:ind w:left="4350" w:hanging="360"/>
      </w:pPr>
      <w:rPr>
        <w:rFonts w:hint="default"/>
        <w:lang w:val="en-US" w:eastAsia="en-US" w:bidi="en-US"/>
      </w:rPr>
    </w:lvl>
    <w:lvl w:ilvl="5">
      <w:numFmt w:val="bullet"/>
      <w:lvlText w:val="•"/>
      <w:lvlJc w:val="left"/>
      <w:pPr>
        <w:ind w:left="5203" w:hanging="360"/>
      </w:pPr>
      <w:rPr>
        <w:rFonts w:hint="default"/>
        <w:lang w:val="en-US" w:eastAsia="en-US" w:bidi="en-US"/>
      </w:rPr>
    </w:lvl>
    <w:lvl w:ilvl="6">
      <w:numFmt w:val="bullet"/>
      <w:lvlText w:val="•"/>
      <w:lvlJc w:val="left"/>
      <w:pPr>
        <w:ind w:left="6055" w:hanging="360"/>
      </w:pPr>
      <w:rPr>
        <w:rFonts w:hint="default"/>
        <w:lang w:val="en-US" w:eastAsia="en-US" w:bidi="en-US"/>
      </w:rPr>
    </w:lvl>
    <w:lvl w:ilvl="7">
      <w:numFmt w:val="bullet"/>
      <w:lvlText w:val="•"/>
      <w:lvlJc w:val="left"/>
      <w:pPr>
        <w:ind w:left="6908" w:hanging="360"/>
      </w:pPr>
      <w:rPr>
        <w:rFonts w:hint="default"/>
        <w:lang w:val="en-US" w:eastAsia="en-US" w:bidi="en-US"/>
      </w:rPr>
    </w:lvl>
    <w:lvl w:ilvl="8">
      <w:numFmt w:val="bullet"/>
      <w:lvlText w:val="•"/>
      <w:lvlJc w:val="left"/>
      <w:pPr>
        <w:ind w:left="7761" w:hanging="360"/>
      </w:pPr>
      <w:rPr>
        <w:rFonts w:hint="default"/>
        <w:lang w:val="en-US" w:eastAsia="en-US" w:bidi="en-US"/>
      </w:rPr>
    </w:lvl>
  </w:abstractNum>
  <w:num w:numId="1" w16cid:durableId="565528936">
    <w:abstractNumId w:val="1"/>
  </w:num>
  <w:num w:numId="2" w16cid:durableId="385103112">
    <w:abstractNumId w:val="0"/>
  </w:num>
  <w:num w:numId="3" w16cid:durableId="250353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53B3F"/>
    <w:rsid w:val="001B650F"/>
    <w:rsid w:val="002508B3"/>
    <w:rsid w:val="00453B3F"/>
    <w:rsid w:val="006569AA"/>
    <w:rsid w:val="1AD33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68A2"/>
  <w15:docId w15:val="{5A837680-D3D9-4624-87D4-98A7B9A3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spacing w:after="0" w:line="240" w:lineRule="auto"/>
    </w:pPr>
    <w:rPr>
      <w:rFonts w:ascii="SimSun" w:eastAsia="SimSun" w:hAnsi="SimSun" w:cs="SimSun"/>
      <w:sz w:val="22"/>
      <w:szCs w:val="22"/>
      <w:lang w:eastAsia="en-US" w:bidi="en-US"/>
    </w:rPr>
  </w:style>
  <w:style w:type="paragraph" w:styleId="1">
    <w:name w:val="heading 1"/>
    <w:basedOn w:val="a"/>
    <w:next w:val="a"/>
    <w:uiPriority w:val="1"/>
    <w:qFormat/>
    <w:pPr>
      <w:spacing w:before="82"/>
      <w:ind w:left="2277" w:right="2285"/>
      <w:jc w:val="center"/>
      <w:outlineLvl w:val="0"/>
    </w:pPr>
    <w:rPr>
      <w:rFonts w:ascii="Arial" w:eastAsia="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949"/>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949" w:hanging="360"/>
    </w:pPr>
  </w:style>
  <w:style w:type="paragraph" w:customStyle="1" w:styleId="TableParagraph">
    <w:name w:val="Table Paragraph"/>
    <w:basedOn w:val="a"/>
    <w:uiPriority w:val="1"/>
    <w:qFormat/>
  </w:style>
  <w:style w:type="paragraph" w:styleId="a5">
    <w:name w:val="header"/>
    <w:basedOn w:val="a"/>
    <w:link w:val="a6"/>
    <w:rsid w:val="006569AA"/>
    <w:pPr>
      <w:tabs>
        <w:tab w:val="center" w:pos="4513"/>
        <w:tab w:val="right" w:pos="9026"/>
      </w:tabs>
      <w:snapToGrid w:val="0"/>
      <w:jc w:val="center"/>
    </w:pPr>
    <w:rPr>
      <w:sz w:val="18"/>
      <w:szCs w:val="18"/>
    </w:rPr>
  </w:style>
  <w:style w:type="character" w:customStyle="1" w:styleId="a6">
    <w:name w:val="页眉 字符"/>
    <w:basedOn w:val="a0"/>
    <w:link w:val="a5"/>
    <w:rsid w:val="006569AA"/>
    <w:rPr>
      <w:rFonts w:ascii="SimSun" w:eastAsia="SimSun" w:hAnsi="SimSun" w:cs="SimSun"/>
      <w:sz w:val="18"/>
      <w:szCs w:val="18"/>
      <w:lang w:eastAsia="en-US" w:bidi="en-US"/>
    </w:rPr>
  </w:style>
  <w:style w:type="paragraph" w:styleId="a7">
    <w:name w:val="footer"/>
    <w:basedOn w:val="a"/>
    <w:link w:val="a8"/>
    <w:rsid w:val="006569AA"/>
    <w:pPr>
      <w:tabs>
        <w:tab w:val="center" w:pos="4513"/>
        <w:tab w:val="right" w:pos="9026"/>
      </w:tabs>
      <w:snapToGrid w:val="0"/>
    </w:pPr>
    <w:rPr>
      <w:sz w:val="18"/>
      <w:szCs w:val="18"/>
    </w:rPr>
  </w:style>
  <w:style w:type="character" w:customStyle="1" w:styleId="a8">
    <w:name w:val="页脚 字符"/>
    <w:basedOn w:val="a0"/>
    <w:link w:val="a7"/>
    <w:rsid w:val="006569AA"/>
    <w:rPr>
      <w:rFonts w:ascii="SimSun" w:eastAsia="SimSun" w:hAnsi="SimSun" w:cs="SimSu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4"/>
    <customShpInfo spid="_x0000_s2055"/>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ISO14000认证流程</dc:title>
  <dc:creator>sy</dc:creator>
  <cp:lastModifiedBy>萌 酒</cp:lastModifiedBy>
  <cp:revision>2</cp:revision>
  <dcterms:created xsi:type="dcterms:W3CDTF">2020-04-17T04:43:00Z</dcterms:created>
  <dcterms:modified xsi:type="dcterms:W3CDTF">2024-07-01T06:35:00Z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Office Word 2007</vt:lpwstr>
  </property>
  <property fmtid="{D5CDD505-2E9C-101B-9397-08002B2CF9AE}" pid="4" name="LastSaved">
    <vt:filetime>2020-04-17T00:00:00Z</vt:filetime>
  </property>
  <property fmtid="{D5CDD505-2E9C-101B-9397-08002B2CF9AE}" pid="5" name="KSOProductBuildVer">
    <vt:lpwstr>2052-11.1.0.9584</vt:lpwstr>
  </property>
</Properties>
</file>