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ind w:left="1939" w:right="2069" w:firstLine="0"/>
        <w:jc w:val="center"/>
        <w:rPr>
          <w:b/>
          <w:sz w:val="32"/>
        </w:rPr>
      </w:pPr>
      <w:r>
        <w:rPr>
          <w:rFonts w:ascii="Arial" w:eastAsia="Arial"/>
          <w:b/>
          <w:sz w:val="32"/>
        </w:rPr>
        <w:t>ISO9001</w:t>
      </w:r>
      <w:r>
        <w:rPr>
          <w:sz w:val="24"/>
        </w:rPr>
        <w:t>（</w:t>
      </w:r>
      <w:r>
        <w:rPr>
          <w:rFonts w:ascii="Arial" w:eastAsia="Arial"/>
          <w:sz w:val="24"/>
        </w:rPr>
        <w:t>GB/T19001</w:t>
      </w:r>
      <w:r>
        <w:rPr>
          <w:sz w:val="24"/>
        </w:rPr>
        <w:t>）</w:t>
      </w:r>
      <w:r>
        <w:rPr>
          <w:b/>
          <w:sz w:val="32"/>
        </w:rPr>
        <w:t>申请认证基本要求</w:t>
      </w:r>
      <w:bookmarkStart w:id="0" w:name="_GoBack"/>
      <w:bookmarkEnd w:id="0"/>
    </w:p>
    <w:p>
      <w:pPr>
        <w:pStyle w:val="2"/>
        <w:spacing w:before="0"/>
        <w:ind w:left="0" w:firstLine="0"/>
        <w:rPr>
          <w:b/>
          <w:sz w:val="36"/>
        </w:rPr>
      </w:pPr>
    </w:p>
    <w:p>
      <w:pPr>
        <w:pStyle w:val="2"/>
        <w:spacing w:before="5"/>
        <w:ind w:left="0" w:firstLine="0"/>
        <w:rPr>
          <w:b/>
          <w:sz w:val="27"/>
        </w:rPr>
      </w:pPr>
    </w:p>
    <w:p>
      <w:pPr>
        <w:pStyle w:val="6"/>
        <w:numPr>
          <w:ilvl w:val="0"/>
          <w:numId w:val="1"/>
        </w:numPr>
        <w:tabs>
          <w:tab w:val="left" w:pos="530"/>
        </w:tabs>
        <w:spacing w:before="0" w:after="0" w:line="364" w:lineRule="auto"/>
        <w:ind w:left="529" w:right="232" w:hanging="420"/>
        <w:jc w:val="both"/>
        <w:rPr>
          <w:sz w:val="24"/>
        </w:rPr>
      </w:pPr>
      <w:r>
        <w:rPr>
          <w:spacing w:val="-4"/>
          <w:sz w:val="24"/>
        </w:rPr>
        <w:t>申请组织应未列入国家信用信息严重失信主体有关名录，且建立符合标准要求的文件</w:t>
      </w:r>
      <w:r>
        <w:rPr>
          <w:spacing w:val="-6"/>
          <w:sz w:val="24"/>
        </w:rPr>
        <w:t>化质量管理体系，在申请认证之前应完成内部审核和管理评审，并保证质量管理体系</w:t>
      </w:r>
      <w:r>
        <w:rPr>
          <w:sz w:val="24"/>
        </w:rPr>
        <w:t>有效、充分运行三个月以上；</w:t>
      </w:r>
    </w:p>
    <w:p>
      <w:pPr>
        <w:pStyle w:val="2"/>
        <w:spacing w:line="364" w:lineRule="auto"/>
        <w:ind w:right="228" w:firstLine="0"/>
        <w:jc w:val="both"/>
      </w:pPr>
      <w:r>
        <w:rPr>
          <w:spacing w:val="3"/>
        </w:rPr>
        <w:t xml:space="preserve">根据 </w:t>
      </w:r>
      <w:r>
        <w:rPr>
          <w:rFonts w:ascii="Arial" w:eastAsia="Arial"/>
        </w:rPr>
        <w:t>CNAS-CC01</w:t>
      </w:r>
      <w:r>
        <w:rPr>
          <w:spacing w:val="4"/>
        </w:rPr>
        <w:t>《合格评定 管理体系审核认证机构的要求》</w:t>
      </w:r>
      <w:r>
        <w:rPr>
          <w:rFonts w:ascii="Arial" w:eastAsia="Arial"/>
        </w:rPr>
        <w:t xml:space="preserve">(ISO/IEC17021-1) </w:t>
      </w:r>
      <w:r>
        <w:rPr>
          <w:spacing w:val="-1"/>
        </w:rPr>
        <w:t>的要求，</w:t>
      </w:r>
      <w:r>
        <w:rPr>
          <w:rFonts w:ascii="Arial" w:eastAsia="Arial"/>
          <w:spacing w:val="-4"/>
        </w:rPr>
        <w:t>ISO9001</w:t>
      </w:r>
      <w:r>
        <w:rPr>
          <w:spacing w:val="-4"/>
        </w:rPr>
        <w:t>（</w:t>
      </w:r>
      <w:r>
        <w:rPr>
          <w:rFonts w:ascii="Arial" w:eastAsia="Arial"/>
          <w:spacing w:val="-4"/>
        </w:rPr>
        <w:t>GB/T19001</w:t>
      </w:r>
      <w:r>
        <w:rPr>
          <w:spacing w:val="-4"/>
        </w:rPr>
        <w:t>）</w:t>
      </w:r>
      <w:r>
        <w:rPr>
          <w:spacing w:val="-1"/>
        </w:rPr>
        <w:t>认证审核由第一阶段审核和第二阶段审核组成。通</w:t>
      </w:r>
      <w:r>
        <w:rPr>
          <w:spacing w:val="-8"/>
        </w:rPr>
        <w:t>常情况下，要求第一阶段审核活动应在申请认证组织的场所进行，如不安排第一阶段</w:t>
      </w:r>
      <w:r>
        <w:t>现场审核，应说明充分的理由。</w:t>
      </w:r>
    </w:p>
    <w:p>
      <w:pPr>
        <w:pStyle w:val="6"/>
        <w:numPr>
          <w:ilvl w:val="0"/>
          <w:numId w:val="1"/>
        </w:numPr>
        <w:tabs>
          <w:tab w:val="left" w:pos="530"/>
        </w:tabs>
        <w:spacing w:before="3" w:after="0" w:line="240" w:lineRule="auto"/>
        <w:ind w:left="529" w:right="0" w:hanging="421"/>
        <w:jc w:val="both"/>
        <w:rPr>
          <w:sz w:val="24"/>
        </w:rPr>
      </w:pPr>
      <w:r>
        <w:rPr>
          <w:sz w:val="24"/>
        </w:rPr>
        <w:t>第一阶段审核的目的包括：</w:t>
      </w:r>
    </w:p>
    <w:p>
      <w:pPr>
        <w:pStyle w:val="6"/>
        <w:numPr>
          <w:ilvl w:val="1"/>
          <w:numId w:val="1"/>
        </w:numPr>
        <w:tabs>
          <w:tab w:val="left" w:pos="1084"/>
        </w:tabs>
        <w:spacing w:before="81" w:after="0" w:line="240" w:lineRule="auto"/>
        <w:ind w:left="1083" w:right="0" w:hanging="495"/>
        <w:jc w:val="left"/>
        <w:rPr>
          <w:sz w:val="24"/>
        </w:rPr>
      </w:pPr>
      <w:r>
        <w:rPr>
          <w:sz w:val="24"/>
        </w:rPr>
        <w:t>审核申请组织的管理体系文件；</w:t>
      </w:r>
    </w:p>
    <w:p>
      <w:pPr>
        <w:pStyle w:val="6"/>
        <w:numPr>
          <w:ilvl w:val="1"/>
          <w:numId w:val="1"/>
        </w:numPr>
        <w:tabs>
          <w:tab w:val="left" w:pos="1084"/>
        </w:tabs>
        <w:spacing w:before="160" w:after="0" w:line="362" w:lineRule="auto"/>
        <w:ind w:left="1069" w:right="339" w:hanging="480"/>
        <w:jc w:val="left"/>
        <w:rPr>
          <w:sz w:val="24"/>
        </w:rPr>
      </w:pPr>
      <w:r>
        <w:rPr>
          <w:spacing w:val="-1"/>
          <w:sz w:val="24"/>
        </w:rPr>
        <w:t>评价申请组织的运作场所和现场的具体情况，并与申请的人员进行讨论，以确</w:t>
      </w:r>
      <w:r>
        <w:rPr>
          <w:sz w:val="24"/>
        </w:rPr>
        <w:t>定第二阶段审核的准备情况；</w:t>
      </w:r>
    </w:p>
    <w:p>
      <w:pPr>
        <w:pStyle w:val="6"/>
        <w:numPr>
          <w:ilvl w:val="1"/>
          <w:numId w:val="1"/>
        </w:numPr>
        <w:tabs>
          <w:tab w:val="left" w:pos="1010"/>
        </w:tabs>
        <w:spacing w:before="6" w:after="0" w:line="362" w:lineRule="auto"/>
        <w:ind w:left="1069" w:right="234" w:hanging="480"/>
        <w:jc w:val="left"/>
        <w:rPr>
          <w:sz w:val="24"/>
        </w:rPr>
      </w:pPr>
      <w:r>
        <w:rPr>
          <w:spacing w:val="-5"/>
          <w:sz w:val="24"/>
        </w:rPr>
        <w:t>审查申请组织理解和实施标准要求的情况，特别是对管理体系的关键绩效或重要</w:t>
      </w:r>
      <w:r>
        <w:rPr>
          <w:sz w:val="24"/>
        </w:rPr>
        <w:t>的因素、过程、目标和运作的识别情况；</w:t>
      </w:r>
    </w:p>
    <w:p>
      <w:pPr>
        <w:pStyle w:val="6"/>
        <w:numPr>
          <w:ilvl w:val="1"/>
          <w:numId w:val="1"/>
        </w:numPr>
        <w:tabs>
          <w:tab w:val="left" w:pos="1084"/>
        </w:tabs>
        <w:spacing w:before="5" w:after="0" w:line="362" w:lineRule="auto"/>
        <w:ind w:left="1069" w:right="340" w:hanging="480"/>
        <w:jc w:val="left"/>
        <w:rPr>
          <w:sz w:val="24"/>
        </w:rPr>
      </w:pPr>
      <w:r>
        <w:rPr>
          <w:spacing w:val="-1"/>
          <w:sz w:val="24"/>
        </w:rPr>
        <w:t>收集关于申请组织的管理体系范围、过程和场所的必要信息，以及相关的法律</w:t>
      </w:r>
      <w:r>
        <w:rPr>
          <w:sz w:val="24"/>
        </w:rPr>
        <w:t>法规要求和遵守情况；</w:t>
      </w:r>
    </w:p>
    <w:p>
      <w:pPr>
        <w:pStyle w:val="6"/>
        <w:numPr>
          <w:ilvl w:val="1"/>
          <w:numId w:val="1"/>
        </w:numPr>
        <w:tabs>
          <w:tab w:val="left" w:pos="952"/>
        </w:tabs>
        <w:spacing w:before="5" w:after="0" w:line="362" w:lineRule="auto"/>
        <w:ind w:left="589" w:right="111" w:hanging="15"/>
        <w:jc w:val="left"/>
        <w:rPr>
          <w:sz w:val="24"/>
        </w:rPr>
      </w:pPr>
      <w:r>
        <w:rPr>
          <w:spacing w:val="-9"/>
          <w:sz w:val="24"/>
        </w:rPr>
        <w:t xml:space="preserve">审查第二阶段审核所需资源的配置情况，并与申请组织商定第二阶段审核的细节； </w:t>
      </w:r>
      <w:r>
        <w:rPr>
          <w:rFonts w:ascii="Arial" w:eastAsia="Arial"/>
          <w:sz w:val="24"/>
        </w:rPr>
        <w:t>f</w:t>
      </w:r>
      <w:r>
        <w:rPr>
          <w:sz w:val="24"/>
        </w:rPr>
        <w:t>）</w:t>
      </w:r>
      <w:r>
        <w:rPr>
          <w:spacing w:val="-7"/>
          <w:sz w:val="24"/>
        </w:rPr>
        <w:t xml:space="preserve"> 结合可能的重要因素充分了解申请组织的管理体系和现场运作，以便为策划第二</w:t>
      </w:r>
    </w:p>
    <w:p>
      <w:pPr>
        <w:pStyle w:val="2"/>
        <w:spacing w:before="5"/>
        <w:ind w:left="949" w:firstLine="0"/>
      </w:pPr>
      <w:r>
        <w:t>阶段审核提供关注点；</w:t>
      </w:r>
    </w:p>
    <w:p>
      <w:pPr>
        <w:pStyle w:val="2"/>
        <w:spacing w:before="158" w:line="364" w:lineRule="auto"/>
        <w:ind w:left="949" w:right="340" w:hanging="360"/>
      </w:pPr>
      <w:r>
        <w:rPr>
          <w:rFonts w:ascii="Arial" w:eastAsia="Arial"/>
        </w:rPr>
        <w:t>g</w:t>
      </w:r>
      <w:r>
        <w:t>） 评价申请组织是否策划和实施了内部审核与管理评审，以及管理体系的实施程度能否证明申请组织已为第二阶段审核作好准备。</w:t>
      </w:r>
    </w:p>
    <w:p>
      <w:pPr>
        <w:pStyle w:val="6"/>
        <w:numPr>
          <w:ilvl w:val="0"/>
          <w:numId w:val="1"/>
        </w:numPr>
        <w:tabs>
          <w:tab w:val="left" w:pos="529"/>
          <w:tab w:val="left" w:pos="530"/>
        </w:tabs>
        <w:spacing w:before="78" w:after="0" w:line="240" w:lineRule="auto"/>
        <w:ind w:left="529" w:right="0" w:hanging="421"/>
        <w:jc w:val="left"/>
        <w:rPr>
          <w:sz w:val="24"/>
        </w:rPr>
      </w:pPr>
      <w:r>
        <w:rPr>
          <w:spacing w:val="9"/>
          <w:sz w:val="24"/>
        </w:rPr>
        <w:t>申请组织应向</w:t>
      </w:r>
      <w:r>
        <w:rPr>
          <w:rFonts w:hint="eastAsia" w:ascii="Arial"/>
          <w:spacing w:val="2"/>
          <w:sz w:val="24"/>
          <w:lang w:eastAsia="zh-CN"/>
        </w:rPr>
        <w:t>上海中豪认证有限公司</w:t>
      </w:r>
      <w:r>
        <w:rPr>
          <w:rFonts w:ascii="Arial" w:eastAsia="Arial"/>
          <w:spacing w:val="-8"/>
          <w:sz w:val="24"/>
        </w:rPr>
        <w:t xml:space="preserve"> </w:t>
      </w:r>
      <w:r>
        <w:rPr>
          <w:spacing w:val="-2"/>
          <w:sz w:val="24"/>
        </w:rPr>
        <w:t>提供质量管理体系运行的充分信息，例如：</w:t>
      </w:r>
    </w:p>
    <w:p>
      <w:pPr>
        <w:pStyle w:val="6"/>
        <w:numPr>
          <w:ilvl w:val="0"/>
          <w:numId w:val="2"/>
        </w:numPr>
        <w:tabs>
          <w:tab w:val="left" w:pos="949"/>
          <w:tab w:val="left" w:pos="950"/>
        </w:tabs>
        <w:spacing w:before="161" w:after="0" w:line="364" w:lineRule="auto"/>
        <w:ind w:left="949" w:right="233" w:hanging="420"/>
        <w:jc w:val="left"/>
        <w:rPr>
          <w:sz w:val="24"/>
        </w:rPr>
      </w:pPr>
      <w:r>
        <w:rPr>
          <w:spacing w:val="-1"/>
          <w:sz w:val="24"/>
        </w:rPr>
        <w:t>对于多现场应说明各现场的认证范围、地址及人员分布等情况，</w:t>
      </w:r>
      <w:r>
        <w:rPr>
          <w:rFonts w:hint="eastAsia" w:ascii="Arial"/>
          <w:sz w:val="24"/>
          <w:lang w:eastAsia="zh-CN"/>
        </w:rPr>
        <w:t>上海中豪认证有限公司</w:t>
      </w:r>
      <w:r>
        <w:rPr>
          <w:rFonts w:ascii="Arial" w:eastAsia="Arial"/>
          <w:spacing w:val="-15"/>
          <w:sz w:val="24"/>
        </w:rPr>
        <w:t xml:space="preserve"> </w:t>
      </w:r>
      <w:r>
        <w:rPr>
          <w:spacing w:val="-4"/>
          <w:sz w:val="24"/>
        </w:rPr>
        <w:t>将以抽样的</w:t>
      </w:r>
      <w:r>
        <w:rPr>
          <w:sz w:val="24"/>
        </w:rPr>
        <w:t>方式对多现场进行审核；</w:t>
      </w:r>
    </w:p>
    <w:p>
      <w:pPr>
        <w:pStyle w:val="6"/>
        <w:numPr>
          <w:ilvl w:val="0"/>
          <w:numId w:val="2"/>
        </w:numPr>
        <w:tabs>
          <w:tab w:val="left" w:pos="949"/>
          <w:tab w:val="left" w:pos="950"/>
        </w:tabs>
        <w:spacing w:before="1" w:after="0" w:line="364" w:lineRule="auto"/>
        <w:ind w:left="949" w:right="233" w:hanging="420"/>
        <w:jc w:val="left"/>
        <w:rPr>
          <w:sz w:val="24"/>
        </w:rPr>
      </w:pPr>
      <w:r>
        <w:rPr>
          <w:sz w:val="24"/>
        </w:rPr>
        <w:t>没有完全纳入质量管理体系认证范围内的服务或活动的接口（</w:t>
      </w:r>
      <w:r>
        <w:rPr>
          <w:spacing w:val="-3"/>
          <w:sz w:val="24"/>
        </w:rPr>
        <w:t>如，发生在同一现</w:t>
      </w:r>
      <w:r>
        <w:rPr>
          <w:sz w:val="24"/>
        </w:rPr>
        <w:t>场</w:t>
      </w:r>
      <w:r>
        <w:rPr>
          <w:spacing w:val="-120"/>
          <w:sz w:val="24"/>
        </w:rPr>
        <w:t>）</w:t>
      </w:r>
      <w:r>
        <w:rPr>
          <w:sz w:val="24"/>
        </w:rPr>
        <w:t>，应在拟认证的质量管理体系中予以说明；</w:t>
      </w:r>
    </w:p>
    <w:p>
      <w:pPr>
        <w:pStyle w:val="6"/>
        <w:numPr>
          <w:ilvl w:val="0"/>
          <w:numId w:val="2"/>
        </w:numPr>
        <w:tabs>
          <w:tab w:val="left" w:pos="949"/>
          <w:tab w:val="left" w:pos="950"/>
        </w:tabs>
        <w:spacing w:before="2" w:after="0" w:line="364" w:lineRule="auto"/>
        <w:ind w:left="949" w:right="235" w:hanging="420"/>
        <w:jc w:val="left"/>
        <w:rPr>
          <w:sz w:val="24"/>
        </w:rPr>
      </w:pPr>
      <w:r>
        <w:rPr>
          <w:spacing w:val="-1"/>
          <w:sz w:val="24"/>
        </w:rPr>
        <w:t>当决定认证的覆盖范围时，应考虑组织生产或经营许可证的范围以及相应资质证</w:t>
      </w:r>
      <w:r>
        <w:rPr>
          <w:sz w:val="24"/>
        </w:rPr>
        <w:t>明；</w:t>
      </w:r>
    </w:p>
    <w:p>
      <w:pPr>
        <w:spacing w:after="0" w:line="364" w:lineRule="auto"/>
        <w:jc w:val="left"/>
        <w:rPr>
          <w:sz w:val="24"/>
        </w:rPr>
        <w:sectPr>
          <w:headerReference r:id="rId3" w:type="default"/>
          <w:footerReference r:id="rId4" w:type="default"/>
          <w:type w:val="continuous"/>
          <w:pgSz w:w="11910" w:h="16840"/>
          <w:pgMar w:top="1600" w:right="960" w:bottom="1000" w:left="1360" w:header="674" w:footer="805" w:gutter="0"/>
        </w:sectPr>
      </w:pPr>
    </w:p>
    <w:p>
      <w:pPr>
        <w:pStyle w:val="6"/>
        <w:numPr>
          <w:ilvl w:val="0"/>
          <w:numId w:val="2"/>
        </w:numPr>
        <w:tabs>
          <w:tab w:val="left" w:pos="950"/>
        </w:tabs>
        <w:spacing w:before="67" w:after="0" w:line="364" w:lineRule="auto"/>
        <w:ind w:left="949" w:right="234" w:hanging="420"/>
        <w:jc w:val="both"/>
        <w:rPr>
          <w:sz w:val="24"/>
        </w:rPr>
      </w:pPr>
      <w:r>
        <w:rPr>
          <w:rFonts w:ascii="Arial" w:eastAsia="Arial"/>
          <w:spacing w:val="-1"/>
          <w:sz w:val="24"/>
        </w:rPr>
        <w:t>ISO9001</w:t>
      </w:r>
      <w:r>
        <w:rPr>
          <w:spacing w:val="-1"/>
          <w:sz w:val="24"/>
        </w:rPr>
        <w:t>（</w:t>
      </w:r>
      <w:r>
        <w:rPr>
          <w:rFonts w:ascii="Arial" w:eastAsia="Arial"/>
          <w:spacing w:val="-1"/>
          <w:sz w:val="24"/>
        </w:rPr>
        <w:t>GB/T19001</w:t>
      </w:r>
      <w:r>
        <w:rPr>
          <w:spacing w:val="-1"/>
          <w:sz w:val="24"/>
        </w:rPr>
        <w:t>）标准允许对质量管理体系要求进行删减，但删减的原因</w:t>
      </w:r>
      <w:r>
        <w:rPr>
          <w:spacing w:val="-2"/>
          <w:sz w:val="24"/>
        </w:rPr>
        <w:t>必须清楚，只有当产品的性质、顾客或适应的法规要求不适宜采取该项体系要求</w:t>
      </w:r>
      <w:r>
        <w:rPr>
          <w:spacing w:val="-1"/>
          <w:sz w:val="24"/>
        </w:rPr>
        <w:t>时才可删减；若超出允许的删减范围，包括由于影响到满足顾客要求，组织不能</w:t>
      </w:r>
      <w:r>
        <w:rPr>
          <w:spacing w:val="-13"/>
          <w:sz w:val="24"/>
        </w:rPr>
        <w:t xml:space="preserve">声称符合 </w:t>
      </w:r>
      <w:r>
        <w:rPr>
          <w:rFonts w:ascii="Arial" w:eastAsia="Arial"/>
          <w:sz w:val="24"/>
        </w:rPr>
        <w:t>ISO9001</w:t>
      </w:r>
      <w:r>
        <w:rPr>
          <w:sz w:val="24"/>
        </w:rPr>
        <w:t>（</w:t>
      </w:r>
      <w:r>
        <w:rPr>
          <w:rFonts w:ascii="Arial" w:eastAsia="Arial"/>
          <w:sz w:val="24"/>
        </w:rPr>
        <w:t>GB/T19001</w:t>
      </w:r>
      <w:r>
        <w:rPr>
          <w:sz w:val="24"/>
        </w:rPr>
        <w:t>）</w:t>
      </w:r>
      <w:r>
        <w:rPr>
          <w:spacing w:val="-1"/>
          <w:sz w:val="24"/>
        </w:rPr>
        <w:t>标准的要求；</w:t>
      </w:r>
    </w:p>
    <w:p>
      <w:pPr>
        <w:pStyle w:val="6"/>
        <w:numPr>
          <w:ilvl w:val="0"/>
          <w:numId w:val="1"/>
        </w:numPr>
        <w:tabs>
          <w:tab w:val="left" w:pos="530"/>
        </w:tabs>
        <w:spacing w:before="2" w:after="0" w:line="364" w:lineRule="auto"/>
        <w:ind w:left="529" w:right="232" w:hanging="420"/>
        <w:jc w:val="both"/>
        <w:rPr>
          <w:sz w:val="24"/>
        </w:rPr>
      </w:pPr>
      <w:r>
        <w:rPr>
          <w:rFonts w:ascii="Arial" w:eastAsia="Arial"/>
          <w:spacing w:val="-4"/>
          <w:sz w:val="24"/>
        </w:rPr>
        <w:t>ISO9001</w:t>
      </w:r>
      <w:r>
        <w:rPr>
          <w:spacing w:val="-4"/>
          <w:sz w:val="24"/>
        </w:rPr>
        <w:t>（</w:t>
      </w:r>
      <w:r>
        <w:rPr>
          <w:rFonts w:ascii="Arial" w:eastAsia="Arial"/>
          <w:spacing w:val="-4"/>
          <w:sz w:val="24"/>
        </w:rPr>
        <w:t>GB/T19001</w:t>
      </w:r>
      <w:r>
        <w:rPr>
          <w:spacing w:val="-4"/>
          <w:sz w:val="24"/>
        </w:rPr>
        <w:t>）</w:t>
      </w:r>
      <w:r>
        <w:rPr>
          <w:spacing w:val="-2"/>
          <w:sz w:val="24"/>
        </w:rPr>
        <w:t>审核是一项收集客观证据的符合性验证活动，为使审核顺利</w:t>
      </w:r>
      <w:r>
        <w:rPr>
          <w:spacing w:val="-4"/>
          <w:sz w:val="24"/>
        </w:rPr>
        <w:t>进行，组织应为</w:t>
      </w:r>
      <w:r>
        <w:rPr>
          <w:rFonts w:hint="eastAsia" w:ascii="Arial"/>
          <w:spacing w:val="2"/>
          <w:sz w:val="24"/>
          <w:lang w:eastAsia="zh-CN"/>
        </w:rPr>
        <w:t>上海中豪认证有限公司</w:t>
      </w:r>
      <w:r>
        <w:rPr>
          <w:spacing w:val="-1"/>
          <w:sz w:val="24"/>
        </w:rPr>
        <w:t>开展初次认证审核、跟踪审核、监督审核、再认证审核、特殊</w:t>
      </w:r>
      <w:r>
        <w:rPr>
          <w:spacing w:val="-5"/>
          <w:sz w:val="24"/>
        </w:rPr>
        <w:t>审核以及解决投诉等活动做出必要的安排，包括文件审核、现场审核、调阅相关记录</w:t>
      </w:r>
      <w:r>
        <w:rPr>
          <w:sz w:val="24"/>
        </w:rPr>
        <w:t>和访问人员等各个方面。</w:t>
      </w:r>
    </w:p>
    <w:p>
      <w:pPr>
        <w:pStyle w:val="6"/>
        <w:numPr>
          <w:ilvl w:val="0"/>
          <w:numId w:val="1"/>
        </w:numPr>
        <w:tabs>
          <w:tab w:val="left" w:pos="530"/>
        </w:tabs>
        <w:spacing w:before="3" w:after="0" w:line="364" w:lineRule="auto"/>
        <w:ind w:left="529" w:right="228" w:hanging="420"/>
        <w:jc w:val="both"/>
        <w:rPr>
          <w:sz w:val="24"/>
        </w:rPr>
      </w:pPr>
      <w:r>
        <w:rPr>
          <w:spacing w:val="-1"/>
          <w:sz w:val="24"/>
        </w:rPr>
        <w:t>组织获证后，应遵守</w:t>
      </w:r>
      <w:r>
        <w:rPr>
          <w:rFonts w:hint="eastAsia" w:ascii="Arial"/>
          <w:sz w:val="24"/>
          <w:lang w:eastAsia="zh-CN"/>
        </w:rPr>
        <w:t>上海中豪认证有限公司</w:t>
      </w:r>
      <w:r>
        <w:rPr>
          <w:spacing w:val="-1"/>
          <w:sz w:val="24"/>
        </w:rPr>
        <w:t>的有关要求</w:t>
      </w:r>
      <w:r>
        <w:rPr>
          <w:rFonts w:hint="eastAsia"/>
          <w:spacing w:val="-1"/>
          <w:sz w:val="24"/>
          <w:lang w:eastAsia="zh-CN"/>
        </w:rPr>
        <w:t>，</w:t>
      </w:r>
      <w:r>
        <w:rPr>
          <w:spacing w:val="-1"/>
          <w:sz w:val="24"/>
        </w:rPr>
        <w:t>在进行宣传时应仅就获准认证的范围作出申</w:t>
      </w:r>
      <w:r>
        <w:rPr>
          <w:spacing w:val="-11"/>
          <w:sz w:val="24"/>
        </w:rPr>
        <w:t xml:space="preserve">明，并遵守 </w:t>
      </w:r>
      <w:r>
        <w:rPr>
          <w:rFonts w:hint="eastAsia" w:ascii="Arial"/>
          <w:spacing w:val="2"/>
          <w:sz w:val="24"/>
          <w:lang w:eastAsia="zh-CN"/>
        </w:rPr>
        <w:t>上海中豪认证有限公司</w:t>
      </w:r>
      <w:r>
        <w:rPr>
          <w:rFonts w:ascii="Arial" w:eastAsia="Arial"/>
          <w:sz w:val="24"/>
        </w:rPr>
        <w:t xml:space="preserve"> </w:t>
      </w:r>
      <w:r>
        <w:rPr>
          <w:spacing w:val="-5"/>
          <w:sz w:val="24"/>
        </w:rPr>
        <w:t xml:space="preserve">有关认证证书及认证标志使用规定；在监督审核时 </w:t>
      </w:r>
      <w:r>
        <w:rPr>
          <w:rFonts w:hint="eastAsia" w:ascii="Arial"/>
          <w:spacing w:val="2"/>
          <w:sz w:val="24"/>
          <w:lang w:eastAsia="zh-CN"/>
        </w:rPr>
        <w:t>上海中豪认证有限公司</w:t>
      </w:r>
      <w:r>
        <w:rPr>
          <w:rFonts w:ascii="Arial" w:eastAsia="Arial"/>
          <w:sz w:val="24"/>
        </w:rPr>
        <w:t xml:space="preserve"> </w:t>
      </w:r>
      <w:r>
        <w:rPr>
          <w:spacing w:val="-3"/>
          <w:sz w:val="24"/>
        </w:rPr>
        <w:t>将对认证证</w:t>
      </w:r>
      <w:r>
        <w:rPr>
          <w:sz w:val="24"/>
        </w:rPr>
        <w:t>书及标志的使用情况进行审核；</w:t>
      </w:r>
    </w:p>
    <w:p>
      <w:pPr>
        <w:pStyle w:val="6"/>
        <w:numPr>
          <w:ilvl w:val="0"/>
          <w:numId w:val="1"/>
        </w:numPr>
        <w:tabs>
          <w:tab w:val="left" w:pos="530"/>
        </w:tabs>
        <w:spacing w:before="2" w:after="0" w:line="364" w:lineRule="auto"/>
        <w:ind w:left="529" w:right="231" w:hanging="420"/>
        <w:jc w:val="both"/>
        <w:rPr>
          <w:sz w:val="24"/>
        </w:rPr>
      </w:pPr>
      <w:r>
        <w:rPr>
          <w:spacing w:val="-4"/>
          <w:sz w:val="24"/>
        </w:rPr>
        <w:t>当组织的质量管理体系出现变化，或出现影响质量管理体系符合性的重大变动时，应</w:t>
      </w:r>
      <w:r>
        <w:rPr>
          <w:spacing w:val="13"/>
          <w:sz w:val="24"/>
        </w:rPr>
        <w:t>及时通知</w:t>
      </w:r>
      <w:r>
        <w:rPr>
          <w:rFonts w:hint="eastAsia" w:ascii="Arial"/>
          <w:spacing w:val="-7"/>
          <w:sz w:val="24"/>
          <w:lang w:eastAsia="zh-CN"/>
        </w:rPr>
        <w:t>上海中豪认证有限公司</w:t>
      </w:r>
      <w:r>
        <w:rPr>
          <w:spacing w:val="-7"/>
          <w:sz w:val="24"/>
        </w:rPr>
        <w:t>；</w:t>
      </w:r>
      <w:r>
        <w:rPr>
          <w:rFonts w:hint="eastAsia" w:ascii="Arial"/>
          <w:spacing w:val="-7"/>
          <w:sz w:val="24"/>
          <w:lang w:eastAsia="zh-CN"/>
        </w:rPr>
        <w:t>上海中豪认证有限公司</w:t>
      </w:r>
      <w:r>
        <w:rPr>
          <w:rFonts w:ascii="Arial" w:eastAsia="Arial"/>
          <w:spacing w:val="-3"/>
          <w:sz w:val="24"/>
        </w:rPr>
        <w:t xml:space="preserve"> </w:t>
      </w:r>
      <w:r>
        <w:rPr>
          <w:spacing w:val="-8"/>
          <w:sz w:val="24"/>
        </w:rPr>
        <w:t>将视情况进行监督审核、换证审核或再认证审核以保持证书的有</w:t>
      </w:r>
      <w:r>
        <w:rPr>
          <w:sz w:val="24"/>
        </w:rPr>
        <w:t>效性；</w:t>
      </w:r>
    </w:p>
    <w:p>
      <w:pPr>
        <w:pStyle w:val="6"/>
        <w:numPr>
          <w:ilvl w:val="0"/>
          <w:numId w:val="1"/>
        </w:numPr>
        <w:tabs>
          <w:tab w:val="left" w:pos="530"/>
        </w:tabs>
        <w:spacing w:before="2" w:after="0" w:line="240" w:lineRule="auto"/>
        <w:ind w:left="529" w:right="0" w:hanging="421"/>
        <w:jc w:val="both"/>
        <w:rPr>
          <w:sz w:val="24"/>
        </w:rPr>
      </w:pPr>
      <w:r>
        <w:rPr>
          <w:spacing w:val="13"/>
          <w:sz w:val="24"/>
        </w:rPr>
        <w:t>组织应向</w:t>
      </w:r>
      <w:r>
        <w:rPr>
          <w:rFonts w:hint="eastAsia" w:ascii="Arial"/>
          <w:spacing w:val="2"/>
          <w:sz w:val="24"/>
          <w:lang w:eastAsia="zh-CN"/>
        </w:rPr>
        <w:t>上海中豪认证有限公司</w:t>
      </w:r>
      <w:r>
        <w:rPr>
          <w:rFonts w:ascii="Arial" w:eastAsia="Arial"/>
          <w:spacing w:val="-7"/>
          <w:sz w:val="24"/>
        </w:rPr>
        <w:t xml:space="preserve"> </w:t>
      </w:r>
      <w:r>
        <w:rPr>
          <w:spacing w:val="-2"/>
          <w:sz w:val="24"/>
        </w:rPr>
        <w:t>提供有关与相关方信息沟通和投诉的记录，以及采取纠正措施的记录。</w:t>
      </w:r>
    </w:p>
    <w:p>
      <w:pPr>
        <w:pStyle w:val="6"/>
        <w:numPr>
          <w:ilvl w:val="0"/>
          <w:numId w:val="1"/>
        </w:numPr>
        <w:tabs>
          <w:tab w:val="left" w:pos="485"/>
        </w:tabs>
        <w:spacing w:before="194" w:after="0" w:line="240" w:lineRule="auto"/>
        <w:ind w:left="484" w:right="0" w:hanging="376"/>
        <w:jc w:val="left"/>
        <w:rPr>
          <w:sz w:val="24"/>
        </w:rPr>
      </w:pPr>
      <w:r>
        <w:rPr>
          <w:sz w:val="24"/>
        </w:rPr>
        <w:t>要求申请工程建设施工质量管理体系认证的企业：</w:t>
      </w:r>
    </w:p>
    <w:p>
      <w:pPr>
        <w:pStyle w:val="6"/>
        <w:numPr>
          <w:ilvl w:val="0"/>
          <w:numId w:val="3"/>
        </w:numPr>
        <w:tabs>
          <w:tab w:val="left" w:pos="654"/>
        </w:tabs>
        <w:spacing w:before="132" w:after="0" w:line="343" w:lineRule="auto"/>
        <w:ind w:left="320" w:right="231" w:firstLine="0"/>
        <w:jc w:val="both"/>
        <w:rPr>
          <w:sz w:val="24"/>
        </w:rPr>
      </w:pPr>
      <w:r>
        <w:rPr>
          <w:sz w:val="24"/>
        </w:rPr>
        <w:t>按</w:t>
      </w:r>
      <w:r>
        <w:rPr>
          <w:rFonts w:ascii="Arial" w:eastAsia="Arial"/>
          <w:spacing w:val="-5"/>
          <w:sz w:val="24"/>
        </w:rPr>
        <w:t>GB/T19001</w:t>
      </w:r>
      <w:r>
        <w:rPr>
          <w:spacing w:val="-6"/>
          <w:sz w:val="24"/>
        </w:rPr>
        <w:t>《质量管理体系 要求》和</w:t>
      </w:r>
      <w:r>
        <w:rPr>
          <w:rFonts w:ascii="Arial" w:eastAsia="Arial"/>
          <w:spacing w:val="-5"/>
          <w:sz w:val="24"/>
        </w:rPr>
        <w:t>GB/T50430</w:t>
      </w:r>
      <w:r>
        <w:rPr>
          <w:spacing w:val="-1"/>
          <w:sz w:val="24"/>
        </w:rPr>
        <w:t>《工程建设施工企业质量管理规</w:t>
      </w:r>
      <w:r>
        <w:rPr>
          <w:spacing w:val="-10"/>
          <w:sz w:val="24"/>
        </w:rPr>
        <w:t>范》的要求建立和运行工程建设施工质量管理体系，并已实施了覆盖所有程序的内审和</w:t>
      </w:r>
      <w:r>
        <w:rPr>
          <w:sz w:val="24"/>
        </w:rPr>
        <w:t>管理评审；</w:t>
      </w:r>
    </w:p>
    <w:p>
      <w:pPr>
        <w:pStyle w:val="6"/>
        <w:numPr>
          <w:ilvl w:val="0"/>
          <w:numId w:val="3"/>
        </w:numPr>
        <w:tabs>
          <w:tab w:val="left" w:pos="683"/>
        </w:tabs>
        <w:spacing w:before="1" w:after="0" w:line="240" w:lineRule="auto"/>
        <w:ind w:left="682" w:right="0" w:hanging="334"/>
        <w:jc w:val="both"/>
        <w:rPr>
          <w:sz w:val="24"/>
        </w:rPr>
      </w:pPr>
      <w:r>
        <w:rPr>
          <w:sz w:val="24"/>
        </w:rPr>
        <w:t>在有要求时，接受</w:t>
      </w:r>
      <w:r>
        <w:rPr>
          <w:rFonts w:ascii="Arial" w:eastAsia="Arial"/>
          <w:sz w:val="24"/>
        </w:rPr>
        <w:t>CNAS</w:t>
      </w:r>
      <w:r>
        <w:rPr>
          <w:rFonts w:ascii="Arial" w:eastAsia="Arial"/>
          <w:spacing w:val="53"/>
          <w:sz w:val="24"/>
        </w:rPr>
        <w:t xml:space="preserve"> </w:t>
      </w:r>
      <w:r>
        <w:rPr>
          <w:sz w:val="24"/>
        </w:rPr>
        <w:t>的见证评审并提供必要的支持。</w:t>
      </w:r>
    </w:p>
    <w:sectPr>
      <w:pgSz w:w="11910" w:h="16840"/>
      <w:pgMar w:top="1600" w:right="960" w:bottom="1000" w:left="1360" w:header="674" w:footer="80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firstLine="0"/>
      <w:rPr>
        <w:sz w:val="20"/>
      </w:rPr>
    </w:pPr>
    <w:r>
      <mc:AlternateContent>
        <mc:Choice Requires="wps">
          <w:drawing>
            <wp:anchor distT="0" distB="0" distL="114300" distR="114300" simplePos="0" relativeHeight="251571200" behindDoc="1" locked="0" layoutInCell="1" allowOverlap="1">
              <wp:simplePos x="0" y="0"/>
              <wp:positionH relativeFrom="page">
                <wp:posOffset>920115</wp:posOffset>
              </wp:positionH>
              <wp:positionV relativeFrom="page">
                <wp:posOffset>10041255</wp:posOffset>
              </wp:positionV>
              <wp:extent cx="3162935" cy="152400"/>
              <wp:effectExtent l="0" t="0" r="0" b="0"/>
              <wp:wrapNone/>
              <wp:docPr id="5" name="文本框 9"/>
              <wp:cNvGraphicFramePr/>
              <a:graphic xmlns:a="http://schemas.openxmlformats.org/drawingml/2006/main">
                <a:graphicData uri="http://schemas.microsoft.com/office/word/2010/wordprocessingShape">
                  <wps:wsp>
                    <wps:cNvSpPr txBox="1"/>
                    <wps:spPr>
                      <a:xfrm>
                        <a:off x="0" y="0"/>
                        <a:ext cx="3162935" cy="152400"/>
                      </a:xfrm>
                      <a:prstGeom prst="rect">
                        <a:avLst/>
                      </a:prstGeom>
                      <a:noFill/>
                      <a:ln>
                        <a:noFill/>
                      </a:ln>
                    </wps:spPr>
                    <wps:txbx>
                      <w:txbxContent>
                        <w:p>
                          <w:pPr>
                            <w:spacing w:before="0"/>
                            <w:ind w:left="20" w:right="0" w:firstLine="0"/>
                            <w:jc w:val="left"/>
                            <w:rPr>
                              <w:rFonts w:ascii="Times New Roman" w:eastAsia="Times New Roman"/>
                              <w:sz w:val="18"/>
                            </w:rPr>
                          </w:pPr>
                        </w:p>
                      </w:txbxContent>
                    </wps:txbx>
                    <wps:bodyPr lIns="0" tIns="0" rIns="0" bIns="0" upright="1"/>
                  </wps:wsp>
                </a:graphicData>
              </a:graphic>
            </wp:anchor>
          </w:drawing>
        </mc:Choice>
        <mc:Fallback>
          <w:pict>
            <v:shape id="文本框 9" o:spid="_x0000_s1026" o:spt="202" type="#_x0000_t202" style="position:absolute;left:0pt;margin-left:72.45pt;margin-top:790.65pt;height:12pt;width:249.05pt;mso-position-horizontal-relative:page;mso-position-vertical-relative:page;z-index:-251745280;mso-width-relative:page;mso-height-relative:page;" filled="f" stroked="f" coordsize="21600,21600" o:gfxdata="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4kMW42wAAAA0BAAAPAAAA&#10;AAAAAAEAIAAAACIAAABkcnMvZG93bnJldi54bWxQSwECFAAUAAAACACHTuJA5W2Zh6ABAAAkAwAA&#10;DgAAAAAAAAABACAAAAAqAQAAZHJzL2Uyb0RvYy54bWxQSwUGAAAAAAYABgBZAQAAPAUAAAAA&#10;">
              <v:fill on="f" focussize="0,0"/>
              <v:stroke on="f"/>
              <v:imagedata o:title=""/>
              <o:lock v:ext="edit" aspectratio="f"/>
              <v:textbox inset="0mm,0mm,0mm,0mm">
                <w:txbxContent>
                  <w:p>
                    <w:pPr>
                      <w:spacing w:before="0"/>
                      <w:ind w:left="20" w:right="0" w:firstLine="0"/>
                      <w:jc w:val="left"/>
                      <w:rPr>
                        <w:rFonts w:ascii="Times New Roman" w:eastAsia="Times New Roman"/>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ind w:left="0" w:firstLine="0"/>
      <w:rPr>
        <w:sz w:val="20"/>
      </w:rPr>
    </w:pPr>
    <w:r>
      <mc:AlternateContent>
        <mc:Choice Requires="wps">
          <w:drawing>
            <wp:anchor distT="0" distB="0" distL="114300" distR="114300" simplePos="0" relativeHeight="251570176" behindDoc="1" locked="0" layoutInCell="1" allowOverlap="1">
              <wp:simplePos x="0" y="0"/>
              <wp:positionH relativeFrom="page">
                <wp:posOffset>1190625</wp:posOffset>
              </wp:positionH>
              <wp:positionV relativeFrom="page">
                <wp:posOffset>801370</wp:posOffset>
              </wp:positionV>
              <wp:extent cx="796290" cy="117475"/>
              <wp:effectExtent l="0" t="0" r="0" b="0"/>
              <wp:wrapNone/>
              <wp:docPr id="4" name="文本框 8"/>
              <wp:cNvGraphicFramePr/>
              <a:graphic xmlns:a="http://schemas.openxmlformats.org/drawingml/2006/main">
                <a:graphicData uri="http://schemas.microsoft.com/office/word/2010/wordprocessingShape">
                  <wps:wsp>
                    <wps:cNvSpPr txBox="1"/>
                    <wps:spPr>
                      <a:xfrm>
                        <a:off x="0" y="0"/>
                        <a:ext cx="796290" cy="117475"/>
                      </a:xfrm>
                      <a:prstGeom prst="rect">
                        <a:avLst/>
                      </a:prstGeom>
                      <a:noFill/>
                      <a:ln>
                        <a:noFill/>
                      </a:ln>
                    </wps:spPr>
                    <wps:txbx>
                      <w:txbxContent>
                        <w:p>
                          <w:pPr>
                            <w:spacing w:before="15"/>
                            <w:ind w:left="20" w:right="0" w:firstLine="0"/>
                            <w:jc w:val="left"/>
                            <w:rPr>
                              <w:rFonts w:ascii="Arial"/>
                              <w:b/>
                              <w:sz w:val="13"/>
                            </w:rPr>
                          </w:pPr>
                        </w:p>
                      </w:txbxContent>
                    </wps:txbx>
                    <wps:bodyPr lIns="0" tIns="0" rIns="0" bIns="0" upright="1"/>
                  </wps:wsp>
                </a:graphicData>
              </a:graphic>
            </wp:anchor>
          </w:drawing>
        </mc:Choice>
        <mc:Fallback>
          <w:pict>
            <v:shape id="文本框 8" o:spid="_x0000_s1026" o:spt="202" type="#_x0000_t202" style="position:absolute;left:0pt;margin-left:93.75pt;margin-top:63.1pt;height:9.25pt;width:62.7pt;mso-position-horizontal-relative:page;mso-position-vertical-relative:page;z-index:-251746304;mso-width-relative:page;mso-height-relative:page;" filled="f" stroked="f" coordsize="21600,21600" o:gfxdata="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FaVil2gAAAAsBAAAPAAAAAAAA&#10;AAEAIAAAACIAAABkcnMvZG93bnJldi54bWxQSwECFAAUAAAACACHTuJAzZ1CYZ4BAAAjAwAADgAA&#10;AAAAAAABACAAAAApAQAAZHJzL2Uyb0RvYy54bWxQSwUGAAAAAAYABgBZAQAAOQUAAAAA&#10;">
              <v:fill on="f" focussize="0,0"/>
              <v:stroke on="f"/>
              <v:imagedata o:title=""/>
              <o:lock v:ext="edit" aspectratio="f"/>
              <v:textbox inset="0mm,0mm,0mm,0mm">
                <w:txbxContent>
                  <w:p>
                    <w:pPr>
                      <w:spacing w:before="15"/>
                      <w:ind w:left="20" w:right="0" w:firstLine="0"/>
                      <w:jc w:val="left"/>
                      <w:rPr>
                        <w:rFonts w:ascii="Arial"/>
                        <w:b/>
                        <w:sz w:val="13"/>
                      </w:rPr>
                    </w:pPr>
                  </w:p>
                </w:txbxContent>
              </v:textbox>
            </v:shape>
          </w:pict>
        </mc:Fallback>
      </mc:AlternateContent>
    </w:r>
    <w:r>
      <mc:AlternateContent>
        <mc:Choice Requires="wps">
          <w:drawing>
            <wp:anchor distT="0" distB="0" distL="114300" distR="114300" simplePos="0" relativeHeight="251567104" behindDoc="1" locked="0" layoutInCell="1" allowOverlap="1">
              <wp:simplePos x="0" y="0"/>
              <wp:positionH relativeFrom="page">
                <wp:posOffset>2500630</wp:posOffset>
              </wp:positionH>
              <wp:positionV relativeFrom="page">
                <wp:posOffset>603250</wp:posOffset>
              </wp:positionV>
              <wp:extent cx="474980" cy="173990"/>
              <wp:effectExtent l="0" t="0" r="0" b="0"/>
              <wp:wrapNone/>
              <wp:docPr id="1" name="文本框 5"/>
              <wp:cNvGraphicFramePr/>
              <a:graphic xmlns:a="http://schemas.openxmlformats.org/drawingml/2006/main">
                <a:graphicData uri="http://schemas.microsoft.com/office/word/2010/wordprocessingShape">
                  <wps:wsp>
                    <wps:cNvSpPr txBox="1"/>
                    <wps:spPr>
                      <a:xfrm>
                        <a:off x="0" y="0"/>
                        <a:ext cx="474980" cy="173990"/>
                      </a:xfrm>
                      <a:prstGeom prst="rect">
                        <a:avLst/>
                      </a:prstGeom>
                      <a:noFill/>
                      <a:ln>
                        <a:noFill/>
                      </a:ln>
                    </wps:spPr>
                    <wps:txbx>
                      <w:txbxContent>
                        <w:p/>
                      </w:txbxContent>
                    </wps:txbx>
                    <wps:bodyPr lIns="0" tIns="0" rIns="0" bIns="0" upright="1"/>
                  </wps:wsp>
                </a:graphicData>
              </a:graphic>
            </wp:anchor>
          </w:drawing>
        </mc:Choice>
        <mc:Fallback>
          <w:pict>
            <v:shape id="文本框 5" o:spid="_x0000_s1026" o:spt="202" type="#_x0000_t202" style="position:absolute;left:0pt;margin-left:196.9pt;margin-top:47.5pt;height:13.7pt;width:37.4pt;mso-position-horizontal-relative:page;mso-position-vertical-relative:page;z-index:-251749376;mso-width-relative:page;mso-height-relative:page;" filled="f" stroked="f" coordsize="21600,21600" o:gfxdata="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ed3jT2QAAAAoBAAAPAAAAAAAA&#10;AAEAIAAAACIAAABkcnMvZG93bnJldi54bWxQSwECFAAUAAAACACHTuJA4w4c/Z8BAAAjAwAADgAA&#10;AAAAAAABACAAAAAoAQAAZHJzL2Uyb0RvYy54bWxQSwUGAAAAAAYABgBZAQAAOQU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568128" behindDoc="1" locked="0" layoutInCell="1" allowOverlap="1">
              <wp:simplePos x="0" y="0"/>
              <wp:positionH relativeFrom="page">
                <wp:posOffset>4222750</wp:posOffset>
              </wp:positionH>
              <wp:positionV relativeFrom="page">
                <wp:posOffset>603250</wp:posOffset>
              </wp:positionV>
              <wp:extent cx="440055" cy="173990"/>
              <wp:effectExtent l="0" t="0" r="0" b="0"/>
              <wp:wrapNone/>
              <wp:docPr id="2" name="文本框 6"/>
              <wp:cNvGraphicFramePr/>
              <a:graphic xmlns:a="http://schemas.openxmlformats.org/drawingml/2006/main">
                <a:graphicData uri="http://schemas.microsoft.com/office/word/2010/wordprocessingShape">
                  <wps:wsp>
                    <wps:cNvSpPr txBox="1"/>
                    <wps:spPr>
                      <a:xfrm>
                        <a:off x="0" y="0"/>
                        <a:ext cx="440055" cy="173990"/>
                      </a:xfrm>
                      <a:prstGeom prst="rect">
                        <a:avLst/>
                      </a:prstGeom>
                      <a:noFill/>
                      <a:ln>
                        <a:noFill/>
                      </a:ln>
                    </wps:spPr>
                    <wps:txbx>
                      <w:txbxContent>
                        <w:p/>
                      </w:txbxContent>
                    </wps:txbx>
                    <wps:bodyPr lIns="0" tIns="0" rIns="0" bIns="0" upright="1"/>
                  </wps:wsp>
                </a:graphicData>
              </a:graphic>
            </wp:anchor>
          </w:drawing>
        </mc:Choice>
        <mc:Fallback>
          <w:pict>
            <v:shape id="文本框 6" o:spid="_x0000_s1026" o:spt="202" type="#_x0000_t202" style="position:absolute;left:0pt;margin-left:332.5pt;margin-top:47.5pt;height:13.7pt;width:34.65pt;mso-position-horizontal-relative:page;mso-position-vertical-relative:page;z-index:-251748352;mso-width-relative:page;mso-height-relative:page;" filled="f" stroked="f" coordsize="21600,21600" o:gfxdata="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b78Dx9kAAAAKAQAADwAAAAAA&#10;AAABACAAAAAiAAAAZHJzL2Rvd25yZXYueG1sUEsBAhQAFAAAAAgAh07iQO/EKnWgAQAAIwMAAA4A&#10;AAAAAAAAAQAgAAAAKAEAAGRycy9lMm9Eb2MueG1sUEsFBgAAAAAGAAYAWQEAADoFAAAAAA==&#10;">
              <v:fill on="f" focussize="0,0"/>
              <v:stroke on="f"/>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569152" behindDoc="1" locked="0" layoutInCell="1" allowOverlap="1">
              <wp:simplePos x="0" y="0"/>
              <wp:positionH relativeFrom="page">
                <wp:posOffset>5373370</wp:posOffset>
              </wp:positionH>
              <wp:positionV relativeFrom="page">
                <wp:posOffset>603250</wp:posOffset>
              </wp:positionV>
              <wp:extent cx="1001395" cy="17399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001395" cy="173990"/>
                      </a:xfrm>
                      <a:prstGeom prst="rect">
                        <a:avLst/>
                      </a:prstGeom>
                      <a:noFill/>
                      <a:ln>
                        <a:noFill/>
                      </a:ln>
                    </wps:spPr>
                    <wps:txbx>
                      <w:txbxContent>
                        <w:p/>
                      </w:txbxContent>
                    </wps:txbx>
                    <wps:bodyPr lIns="0" tIns="0" rIns="0" bIns="0" upright="1"/>
                  </wps:wsp>
                </a:graphicData>
              </a:graphic>
            </wp:anchor>
          </w:drawing>
        </mc:Choice>
        <mc:Fallback>
          <w:pict>
            <v:shape id="文本框 7" o:spid="_x0000_s1026" o:spt="202" type="#_x0000_t202" style="position:absolute;left:0pt;margin-left:423.1pt;margin-top:47.5pt;height:13.7pt;width:78.85pt;mso-position-horizontal-relative:page;mso-position-vertical-relative:page;z-index:-251747328;mso-width-relative:page;mso-height-relative:page;" filled="f" stroked="f" coordsize="21600,21600" o:gfxdata="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0XsLD2QAAAAsBAAAPAAAAAAAA&#10;AAEAIAAAACIAAABkcnMvZG93bnJldi54bWxQSwECFAAUAAAACACHTuJA3EQVM58BAAAkAwAADgAA&#10;AAAAAAABACAAAAAoAQAAZHJzL2Uyb0RvYy54bWxQSwUGAAAAAAYABgBZAQAAOQ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tentative="0">
      <w:start w:val="1"/>
      <w:numFmt w:val="lowerLetter"/>
      <w:lvlText w:val="%1)"/>
      <w:lvlJc w:val="left"/>
      <w:pPr>
        <w:ind w:left="949" w:hanging="420"/>
        <w:jc w:val="left"/>
      </w:pPr>
      <w:rPr>
        <w:rFonts w:hint="default" w:ascii="Arial" w:hAnsi="Arial" w:eastAsia="Arial" w:cs="Arial"/>
        <w:w w:val="99"/>
        <w:sz w:val="24"/>
        <w:szCs w:val="24"/>
        <w:lang w:val="en-US" w:eastAsia="en-US" w:bidi="en-US"/>
      </w:rPr>
    </w:lvl>
    <w:lvl w:ilvl="1" w:tentative="0">
      <w:start w:val="0"/>
      <w:numFmt w:val="bullet"/>
      <w:lvlText w:val="•"/>
      <w:lvlJc w:val="left"/>
      <w:pPr>
        <w:ind w:left="1804" w:hanging="420"/>
      </w:pPr>
      <w:rPr>
        <w:rFonts w:hint="default"/>
        <w:lang w:val="en-US" w:eastAsia="en-US" w:bidi="en-US"/>
      </w:rPr>
    </w:lvl>
    <w:lvl w:ilvl="2" w:tentative="0">
      <w:start w:val="0"/>
      <w:numFmt w:val="bullet"/>
      <w:lvlText w:val="•"/>
      <w:lvlJc w:val="left"/>
      <w:pPr>
        <w:ind w:left="2669" w:hanging="420"/>
      </w:pPr>
      <w:rPr>
        <w:rFonts w:hint="default"/>
        <w:lang w:val="en-US" w:eastAsia="en-US" w:bidi="en-US"/>
      </w:rPr>
    </w:lvl>
    <w:lvl w:ilvl="3" w:tentative="0">
      <w:start w:val="0"/>
      <w:numFmt w:val="bullet"/>
      <w:lvlText w:val="•"/>
      <w:lvlJc w:val="left"/>
      <w:pPr>
        <w:ind w:left="3533" w:hanging="420"/>
      </w:pPr>
      <w:rPr>
        <w:rFonts w:hint="default"/>
        <w:lang w:val="en-US" w:eastAsia="en-US" w:bidi="en-US"/>
      </w:rPr>
    </w:lvl>
    <w:lvl w:ilvl="4" w:tentative="0">
      <w:start w:val="0"/>
      <w:numFmt w:val="bullet"/>
      <w:lvlText w:val="•"/>
      <w:lvlJc w:val="left"/>
      <w:pPr>
        <w:ind w:left="4398" w:hanging="420"/>
      </w:pPr>
      <w:rPr>
        <w:rFonts w:hint="default"/>
        <w:lang w:val="en-US" w:eastAsia="en-US" w:bidi="en-US"/>
      </w:rPr>
    </w:lvl>
    <w:lvl w:ilvl="5" w:tentative="0">
      <w:start w:val="0"/>
      <w:numFmt w:val="bullet"/>
      <w:lvlText w:val="•"/>
      <w:lvlJc w:val="left"/>
      <w:pPr>
        <w:ind w:left="5263" w:hanging="420"/>
      </w:pPr>
      <w:rPr>
        <w:rFonts w:hint="default"/>
        <w:lang w:val="en-US" w:eastAsia="en-US" w:bidi="en-US"/>
      </w:rPr>
    </w:lvl>
    <w:lvl w:ilvl="6" w:tentative="0">
      <w:start w:val="0"/>
      <w:numFmt w:val="bullet"/>
      <w:lvlText w:val="•"/>
      <w:lvlJc w:val="left"/>
      <w:pPr>
        <w:ind w:left="6127" w:hanging="420"/>
      </w:pPr>
      <w:rPr>
        <w:rFonts w:hint="default"/>
        <w:lang w:val="en-US" w:eastAsia="en-US" w:bidi="en-US"/>
      </w:rPr>
    </w:lvl>
    <w:lvl w:ilvl="7" w:tentative="0">
      <w:start w:val="0"/>
      <w:numFmt w:val="bullet"/>
      <w:lvlText w:val="•"/>
      <w:lvlJc w:val="left"/>
      <w:pPr>
        <w:ind w:left="6992" w:hanging="420"/>
      </w:pPr>
      <w:rPr>
        <w:rFonts w:hint="default"/>
        <w:lang w:val="en-US" w:eastAsia="en-US" w:bidi="en-US"/>
      </w:rPr>
    </w:lvl>
    <w:lvl w:ilvl="8" w:tentative="0">
      <w:start w:val="0"/>
      <w:numFmt w:val="bullet"/>
      <w:lvlText w:val="•"/>
      <w:lvlJc w:val="left"/>
      <w:pPr>
        <w:ind w:left="7857" w:hanging="420"/>
      </w:pPr>
      <w:rPr>
        <w:rFonts w:hint="default"/>
        <w:lang w:val="en-US" w:eastAsia="en-US" w:bidi="en-US"/>
      </w:rPr>
    </w:lvl>
  </w:abstractNum>
  <w:abstractNum w:abstractNumId="1">
    <w:nsid w:val="0053208E"/>
    <w:multiLevelType w:val="multilevel"/>
    <w:tmpl w:val="0053208E"/>
    <w:lvl w:ilvl="0" w:tentative="0">
      <w:start w:val="1"/>
      <w:numFmt w:val="decimal"/>
      <w:lvlText w:val="%1."/>
      <w:lvlJc w:val="left"/>
      <w:pPr>
        <w:ind w:left="529" w:hanging="420"/>
        <w:jc w:val="left"/>
      </w:pPr>
      <w:rPr>
        <w:rFonts w:hint="default" w:ascii="Arial" w:hAnsi="Arial" w:eastAsia="Arial" w:cs="Arial"/>
        <w:spacing w:val="-60"/>
        <w:w w:val="100"/>
        <w:sz w:val="24"/>
        <w:szCs w:val="24"/>
        <w:lang w:val="en-US" w:eastAsia="en-US" w:bidi="en-US"/>
      </w:rPr>
    </w:lvl>
    <w:lvl w:ilvl="1" w:tentative="0">
      <w:start w:val="1"/>
      <w:numFmt w:val="lowerLetter"/>
      <w:lvlText w:val="%2）"/>
      <w:lvlJc w:val="left"/>
      <w:pPr>
        <w:ind w:left="1083" w:hanging="495"/>
        <w:jc w:val="left"/>
      </w:pPr>
      <w:rPr>
        <w:rFonts w:hint="default" w:ascii="Arial" w:hAnsi="Arial" w:eastAsia="Arial" w:cs="Arial"/>
        <w:w w:val="99"/>
        <w:sz w:val="24"/>
        <w:szCs w:val="24"/>
        <w:lang w:val="en-US" w:eastAsia="en-US" w:bidi="en-US"/>
      </w:rPr>
    </w:lvl>
    <w:lvl w:ilvl="2" w:tentative="0">
      <w:start w:val="0"/>
      <w:numFmt w:val="bullet"/>
      <w:lvlText w:val="•"/>
      <w:lvlJc w:val="left"/>
      <w:pPr>
        <w:ind w:left="2025" w:hanging="495"/>
      </w:pPr>
      <w:rPr>
        <w:rFonts w:hint="default"/>
        <w:lang w:val="en-US" w:eastAsia="en-US" w:bidi="en-US"/>
      </w:rPr>
    </w:lvl>
    <w:lvl w:ilvl="3" w:tentative="0">
      <w:start w:val="0"/>
      <w:numFmt w:val="bullet"/>
      <w:lvlText w:val="•"/>
      <w:lvlJc w:val="left"/>
      <w:pPr>
        <w:ind w:left="2970" w:hanging="495"/>
      </w:pPr>
      <w:rPr>
        <w:rFonts w:hint="default"/>
        <w:lang w:val="en-US" w:eastAsia="en-US" w:bidi="en-US"/>
      </w:rPr>
    </w:lvl>
    <w:lvl w:ilvl="4" w:tentative="0">
      <w:start w:val="0"/>
      <w:numFmt w:val="bullet"/>
      <w:lvlText w:val="•"/>
      <w:lvlJc w:val="left"/>
      <w:pPr>
        <w:ind w:left="3915" w:hanging="495"/>
      </w:pPr>
      <w:rPr>
        <w:rFonts w:hint="default"/>
        <w:lang w:val="en-US" w:eastAsia="en-US" w:bidi="en-US"/>
      </w:rPr>
    </w:lvl>
    <w:lvl w:ilvl="5" w:tentative="0">
      <w:start w:val="0"/>
      <w:numFmt w:val="bullet"/>
      <w:lvlText w:val="•"/>
      <w:lvlJc w:val="left"/>
      <w:pPr>
        <w:ind w:left="4860" w:hanging="495"/>
      </w:pPr>
      <w:rPr>
        <w:rFonts w:hint="default"/>
        <w:lang w:val="en-US" w:eastAsia="en-US" w:bidi="en-US"/>
      </w:rPr>
    </w:lvl>
    <w:lvl w:ilvl="6" w:tentative="0">
      <w:start w:val="0"/>
      <w:numFmt w:val="bullet"/>
      <w:lvlText w:val="•"/>
      <w:lvlJc w:val="left"/>
      <w:pPr>
        <w:ind w:left="5805" w:hanging="495"/>
      </w:pPr>
      <w:rPr>
        <w:rFonts w:hint="default"/>
        <w:lang w:val="en-US" w:eastAsia="en-US" w:bidi="en-US"/>
      </w:rPr>
    </w:lvl>
    <w:lvl w:ilvl="7" w:tentative="0">
      <w:start w:val="0"/>
      <w:numFmt w:val="bullet"/>
      <w:lvlText w:val="•"/>
      <w:lvlJc w:val="left"/>
      <w:pPr>
        <w:ind w:left="6750" w:hanging="495"/>
      </w:pPr>
      <w:rPr>
        <w:rFonts w:hint="default"/>
        <w:lang w:val="en-US" w:eastAsia="en-US" w:bidi="en-US"/>
      </w:rPr>
    </w:lvl>
    <w:lvl w:ilvl="8" w:tentative="0">
      <w:start w:val="0"/>
      <w:numFmt w:val="bullet"/>
      <w:lvlText w:val="•"/>
      <w:lvlJc w:val="left"/>
      <w:pPr>
        <w:ind w:left="7696" w:hanging="495"/>
      </w:pPr>
      <w:rPr>
        <w:rFonts w:hint="default"/>
        <w:lang w:val="en-US" w:eastAsia="en-US" w:bidi="en-US"/>
      </w:rPr>
    </w:lvl>
  </w:abstractNum>
  <w:abstractNum w:abstractNumId="2">
    <w:nsid w:val="59ADCABA"/>
    <w:multiLevelType w:val="multilevel"/>
    <w:tmpl w:val="59ADCABA"/>
    <w:lvl w:ilvl="0" w:tentative="0">
      <w:start w:val="1"/>
      <w:numFmt w:val="decimal"/>
      <w:lvlText w:val="%1)"/>
      <w:lvlJc w:val="left"/>
      <w:pPr>
        <w:ind w:left="320" w:hanging="334"/>
        <w:jc w:val="left"/>
      </w:pPr>
      <w:rPr>
        <w:rFonts w:hint="default" w:ascii="Arial" w:hAnsi="Arial" w:eastAsia="Arial" w:cs="Arial"/>
        <w:spacing w:val="-46"/>
        <w:w w:val="99"/>
        <w:sz w:val="24"/>
        <w:szCs w:val="24"/>
        <w:lang w:val="en-US" w:eastAsia="en-US" w:bidi="en-US"/>
      </w:rPr>
    </w:lvl>
    <w:lvl w:ilvl="1" w:tentative="0">
      <w:start w:val="0"/>
      <w:numFmt w:val="bullet"/>
      <w:lvlText w:val="•"/>
      <w:lvlJc w:val="left"/>
      <w:pPr>
        <w:ind w:left="1246" w:hanging="334"/>
      </w:pPr>
      <w:rPr>
        <w:rFonts w:hint="default"/>
        <w:lang w:val="en-US" w:eastAsia="en-US" w:bidi="en-US"/>
      </w:rPr>
    </w:lvl>
    <w:lvl w:ilvl="2" w:tentative="0">
      <w:start w:val="0"/>
      <w:numFmt w:val="bullet"/>
      <w:lvlText w:val="•"/>
      <w:lvlJc w:val="left"/>
      <w:pPr>
        <w:ind w:left="2173" w:hanging="334"/>
      </w:pPr>
      <w:rPr>
        <w:rFonts w:hint="default"/>
        <w:lang w:val="en-US" w:eastAsia="en-US" w:bidi="en-US"/>
      </w:rPr>
    </w:lvl>
    <w:lvl w:ilvl="3" w:tentative="0">
      <w:start w:val="0"/>
      <w:numFmt w:val="bullet"/>
      <w:lvlText w:val="•"/>
      <w:lvlJc w:val="left"/>
      <w:pPr>
        <w:ind w:left="3099" w:hanging="334"/>
      </w:pPr>
      <w:rPr>
        <w:rFonts w:hint="default"/>
        <w:lang w:val="en-US" w:eastAsia="en-US" w:bidi="en-US"/>
      </w:rPr>
    </w:lvl>
    <w:lvl w:ilvl="4" w:tentative="0">
      <w:start w:val="0"/>
      <w:numFmt w:val="bullet"/>
      <w:lvlText w:val="•"/>
      <w:lvlJc w:val="left"/>
      <w:pPr>
        <w:ind w:left="4026" w:hanging="334"/>
      </w:pPr>
      <w:rPr>
        <w:rFonts w:hint="default"/>
        <w:lang w:val="en-US" w:eastAsia="en-US" w:bidi="en-US"/>
      </w:rPr>
    </w:lvl>
    <w:lvl w:ilvl="5" w:tentative="0">
      <w:start w:val="0"/>
      <w:numFmt w:val="bullet"/>
      <w:lvlText w:val="•"/>
      <w:lvlJc w:val="left"/>
      <w:pPr>
        <w:ind w:left="4953" w:hanging="334"/>
      </w:pPr>
      <w:rPr>
        <w:rFonts w:hint="default"/>
        <w:lang w:val="en-US" w:eastAsia="en-US" w:bidi="en-US"/>
      </w:rPr>
    </w:lvl>
    <w:lvl w:ilvl="6" w:tentative="0">
      <w:start w:val="0"/>
      <w:numFmt w:val="bullet"/>
      <w:lvlText w:val="•"/>
      <w:lvlJc w:val="left"/>
      <w:pPr>
        <w:ind w:left="5879" w:hanging="334"/>
      </w:pPr>
      <w:rPr>
        <w:rFonts w:hint="default"/>
        <w:lang w:val="en-US" w:eastAsia="en-US" w:bidi="en-US"/>
      </w:rPr>
    </w:lvl>
    <w:lvl w:ilvl="7" w:tentative="0">
      <w:start w:val="0"/>
      <w:numFmt w:val="bullet"/>
      <w:lvlText w:val="•"/>
      <w:lvlJc w:val="left"/>
      <w:pPr>
        <w:ind w:left="6806" w:hanging="334"/>
      </w:pPr>
      <w:rPr>
        <w:rFonts w:hint="default"/>
        <w:lang w:val="en-US" w:eastAsia="en-US" w:bidi="en-US"/>
      </w:rPr>
    </w:lvl>
    <w:lvl w:ilvl="8" w:tentative="0">
      <w:start w:val="0"/>
      <w:numFmt w:val="bullet"/>
      <w:lvlText w:val="•"/>
      <w:lvlJc w:val="left"/>
      <w:pPr>
        <w:ind w:left="7733" w:hanging="334"/>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D41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en-US"/>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2"/>
      <w:ind w:left="529" w:hanging="420"/>
    </w:pPr>
    <w:rPr>
      <w:rFonts w:ascii="宋体" w:hAnsi="宋体" w:eastAsia="宋体" w:cs="宋体"/>
      <w:sz w:val="24"/>
      <w:szCs w:val="24"/>
      <w:lang w:val="en-US" w:eastAsia="en-US" w:bidi="en-US"/>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pPr>
      <w:spacing w:before="2"/>
      <w:ind w:left="529" w:hanging="420"/>
    </w:pPr>
    <w:rPr>
      <w:rFonts w:ascii="宋体" w:hAnsi="宋体" w:eastAsia="宋体" w:cs="宋体"/>
      <w:lang w:val="en-US" w:eastAsia="en-US" w:bidi="en-US"/>
    </w:rPr>
  </w:style>
  <w:style w:type="paragraph" w:customStyle="1" w:styleId="7">
    <w:name w:val="Table Paragraph"/>
    <w:basedOn w:val="1"/>
    <w:qFormat/>
    <w:uiPriority w:val="1"/>
    <w:rPr>
      <w:lang w:val="en-US" w:eastAsia="en-US"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2020-04-17T01:06:00Z</dcterms:created>
  <dc:creator>sy</dc:creator>
  <cp:lastModifiedBy>台北东区粉圆</cp:lastModifiedBy>
  <dcterms:modified xsi:type="dcterms:W3CDTF">2020-04-17T01:11:41Z</dcterms:modified>
  <dc:title>ISO14000认证流程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Office Word 2007</vt:lpwstr>
  </property>
  <property fmtid="{D5CDD505-2E9C-101B-9397-08002B2CF9AE}" pid="4" name="LastSaved">
    <vt:filetime>2020-04-17T00:00:00Z</vt:filetime>
  </property>
  <property fmtid="{D5CDD505-2E9C-101B-9397-08002B2CF9AE}" pid="5" name="KSOProductBuildVer">
    <vt:lpwstr>2052-11.1.0.9584</vt:lpwstr>
  </property>
</Properties>
</file>