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hAnsi="黑体" w:eastAsia="黑体"/>
        </w:rPr>
      </w:pPr>
      <w:r>
        <w:rPr>
          <w:rFonts w:ascii="黑体" w:hAnsi="黑体" w:eastAsia="黑体"/>
        </w:rPr>
        <w:t>合同编号Contract</w:t>
      </w:r>
      <w:r>
        <w:rPr>
          <w:rFonts w:ascii="Calibri" w:hAnsi="Calibri" w:eastAsia="黑体" w:cs="Calibri"/>
        </w:rPr>
        <w:t> </w:t>
      </w:r>
      <w:r>
        <w:rPr>
          <w:rFonts w:ascii="黑体" w:hAnsi="黑体" w:eastAsia="黑体"/>
        </w:rPr>
        <w:t>NO.：</w:t>
      </w:r>
      <w:r>
        <w:rPr>
          <w:rFonts w:ascii="黑体" w:hAnsi="黑体" w:eastAsia="黑体"/>
          <w:bCs/>
          <w:u w:val="single"/>
        </w:rPr>
        <w:t xml:space="preserve">                     </w:t>
      </w:r>
    </w:p>
    <w:p>
      <w:pPr>
        <w:spacing w:line="360" w:lineRule="auto"/>
      </w:pPr>
    </w:p>
    <w:p>
      <w:pPr>
        <w:tabs>
          <w:tab w:val="left" w:pos="5858"/>
        </w:tabs>
        <w:spacing w:line="360" w:lineRule="auto"/>
        <w:rPr>
          <w:rFonts w:hint="eastAsia"/>
        </w:rPr>
      </w:pPr>
    </w:p>
    <w:p>
      <w:pPr>
        <w:spacing w:line="360" w:lineRule="auto"/>
      </w:pPr>
    </w:p>
    <w:p>
      <w:pPr>
        <w:spacing w:line="360" w:lineRule="auto"/>
      </w:pPr>
    </w:p>
    <w:p>
      <w:pPr>
        <w:spacing w:line="360" w:lineRule="auto"/>
      </w:pPr>
    </w:p>
    <w:p>
      <w:pPr>
        <w:spacing w:line="360" w:lineRule="auto"/>
      </w:pPr>
    </w:p>
    <w:p>
      <w:pPr>
        <w:spacing w:line="800" w:lineRule="exact"/>
        <w:jc w:val="center"/>
        <w:rPr>
          <w:b/>
          <w:bCs/>
          <w:sz w:val="72"/>
          <w:szCs w:val="72"/>
        </w:rPr>
      </w:pPr>
      <w:r>
        <w:rPr>
          <w:b/>
          <w:bCs/>
          <w:sz w:val="72"/>
          <w:szCs w:val="72"/>
        </w:rPr>
        <w:t>体系认证合同</w:t>
      </w:r>
    </w:p>
    <w:p>
      <w:pPr>
        <w:spacing w:line="800" w:lineRule="exact"/>
        <w:jc w:val="center"/>
        <w:rPr>
          <w:b/>
          <w:bCs/>
          <w:sz w:val="40"/>
          <w:szCs w:val="40"/>
        </w:rPr>
      </w:pPr>
      <w:r>
        <w:rPr>
          <w:b/>
          <w:bCs/>
          <w:sz w:val="40"/>
          <w:szCs w:val="40"/>
        </w:rPr>
        <w:t>SYSTEM CERTIFICATION CONTRACT</w:t>
      </w:r>
    </w:p>
    <w:p>
      <w:pPr>
        <w:spacing w:line="480" w:lineRule="auto"/>
        <w:rPr>
          <w:sz w:val="44"/>
          <w:szCs w:val="44"/>
        </w:rPr>
      </w:pPr>
    </w:p>
    <w:p>
      <w:pPr>
        <w:spacing w:line="480" w:lineRule="auto"/>
        <w:rPr>
          <w:sz w:val="44"/>
          <w:szCs w:val="44"/>
        </w:rPr>
      </w:pPr>
    </w:p>
    <w:p>
      <w:pPr>
        <w:spacing w:line="480" w:lineRule="auto"/>
        <w:rPr>
          <w:sz w:val="44"/>
          <w:szCs w:val="44"/>
        </w:rPr>
      </w:pPr>
    </w:p>
    <w:p>
      <w:pPr>
        <w:spacing w:line="480" w:lineRule="auto"/>
        <w:rPr>
          <w:sz w:val="44"/>
          <w:szCs w:val="44"/>
        </w:rPr>
      </w:pPr>
    </w:p>
    <w:p>
      <w:pPr>
        <w:spacing w:line="480" w:lineRule="auto"/>
        <w:rPr>
          <w:sz w:val="44"/>
          <w:szCs w:val="44"/>
        </w:rPr>
      </w:pPr>
    </w:p>
    <w:p>
      <w:pPr>
        <w:spacing w:line="480" w:lineRule="auto"/>
        <w:rPr>
          <w:sz w:val="44"/>
          <w:szCs w:val="44"/>
        </w:rPr>
      </w:pPr>
    </w:p>
    <w:p>
      <w:pPr>
        <w:spacing w:line="480" w:lineRule="auto"/>
        <w:ind w:firstLine="1606" w:firstLineChars="500"/>
        <w:rPr>
          <w:b/>
          <w:bCs/>
          <w:sz w:val="32"/>
          <w:szCs w:val="32"/>
        </w:rPr>
      </w:pPr>
      <w:r>
        <w:rPr>
          <w:b/>
          <w:bCs/>
          <w:sz w:val="32"/>
          <w:szCs w:val="32"/>
        </w:rPr>
        <w:t>甲    方：</w:t>
      </w:r>
      <w:r>
        <w:rPr>
          <w:bCs/>
          <w:sz w:val="32"/>
          <w:szCs w:val="32"/>
          <w:u w:val="single"/>
        </w:rPr>
        <w:t xml:space="preserve">                     </w:t>
      </w:r>
    </w:p>
    <w:p>
      <w:pPr>
        <w:spacing w:line="480" w:lineRule="auto"/>
        <w:ind w:firstLine="1606" w:firstLineChars="500"/>
        <w:rPr>
          <w:b/>
          <w:bCs/>
          <w:sz w:val="32"/>
          <w:szCs w:val="32"/>
        </w:rPr>
      </w:pPr>
      <w:r>
        <w:rPr>
          <w:b/>
          <w:bCs/>
          <w:sz w:val="32"/>
          <w:szCs w:val="32"/>
        </w:rPr>
        <w:t>乙    方：</w:t>
      </w:r>
      <w:r>
        <w:rPr>
          <w:bCs/>
          <w:sz w:val="32"/>
          <w:szCs w:val="32"/>
          <w:u w:val="single"/>
        </w:rPr>
        <w:t xml:space="preserve"> </w:t>
      </w:r>
      <w:r>
        <w:rPr>
          <w:rFonts w:hint="eastAsia"/>
          <w:bCs/>
          <w:sz w:val="32"/>
          <w:szCs w:val="32"/>
          <w:u w:val="single"/>
        </w:rPr>
        <w:t>上海中豪认证有限公司</w:t>
      </w:r>
      <w:r>
        <w:rPr>
          <w:bCs/>
          <w:sz w:val="32"/>
          <w:szCs w:val="32"/>
          <w:u w:val="single"/>
        </w:rPr>
        <w:t xml:space="preserve"> </w:t>
      </w:r>
    </w:p>
    <w:p>
      <w:pPr>
        <w:spacing w:line="480" w:lineRule="auto"/>
        <w:ind w:firstLine="1606" w:firstLineChars="500"/>
        <w:rPr>
          <w:b/>
          <w:bCs/>
          <w:sz w:val="32"/>
          <w:szCs w:val="32"/>
        </w:rPr>
      </w:pPr>
      <w:r>
        <w:rPr>
          <w:b/>
          <w:bCs/>
          <w:sz w:val="32"/>
          <w:szCs w:val="32"/>
        </w:rPr>
        <w:t>签订地点：</w:t>
      </w:r>
      <w:r>
        <w:rPr>
          <w:bCs/>
          <w:sz w:val="32"/>
          <w:szCs w:val="32"/>
          <w:u w:val="single"/>
        </w:rPr>
        <w:t xml:space="preserve">     </w:t>
      </w:r>
      <w:r>
        <w:rPr>
          <w:rFonts w:hint="eastAsia"/>
          <w:bCs/>
          <w:sz w:val="32"/>
          <w:szCs w:val="32"/>
          <w:u w:val="single"/>
        </w:rPr>
        <w:t>上海市</w:t>
      </w:r>
      <w:r>
        <w:rPr>
          <w:bCs/>
          <w:sz w:val="32"/>
          <w:szCs w:val="32"/>
          <w:u w:val="single"/>
        </w:rPr>
        <w:t xml:space="preserve">    </w:t>
      </w:r>
    </w:p>
    <w:p>
      <w:pPr>
        <w:spacing w:line="480" w:lineRule="auto"/>
        <w:ind w:firstLine="1606" w:firstLineChars="500"/>
        <w:rPr>
          <w:b/>
          <w:bCs/>
          <w:sz w:val="32"/>
          <w:szCs w:val="32"/>
        </w:rPr>
      </w:pPr>
      <w:r>
        <w:rPr>
          <w:b/>
          <w:bCs/>
          <w:sz w:val="32"/>
          <w:szCs w:val="32"/>
        </w:rPr>
        <w:t>签订时间：</w:t>
      </w:r>
      <w:r>
        <w:rPr>
          <w:bCs/>
          <w:sz w:val="32"/>
          <w:szCs w:val="32"/>
          <w:u w:val="single"/>
        </w:rPr>
        <w:t xml:space="preserve">     年  月  日</w:t>
      </w:r>
    </w:p>
    <w:p>
      <w:pPr>
        <w:widowControl/>
        <w:spacing w:line="360" w:lineRule="auto"/>
        <w:jc w:val="left"/>
      </w:pPr>
      <w:r>
        <w:br w:type="page"/>
      </w:r>
    </w:p>
    <w:p>
      <w:pPr>
        <w:pStyle w:val="32"/>
        <w:spacing w:line="360" w:lineRule="auto"/>
        <w:ind w:left="0" w:firstLine="420" w:firstLineChars="200"/>
        <w:rPr>
          <w:rFonts w:ascii="Times New Roman" w:hAnsi="Times New Roman" w:eastAsia="宋体" w:cs="Times New Roman"/>
        </w:rPr>
      </w:pPr>
      <w:r>
        <w:rPr>
          <w:rFonts w:ascii="Times New Roman" w:hAnsi="Times New Roman" w:eastAsia="宋体" w:cs="Times New Roman"/>
        </w:rPr>
        <w:t>甲乙双方依据《中华人民共和国</w:t>
      </w:r>
      <w:r>
        <w:rPr>
          <w:rFonts w:hint="eastAsia" w:ascii="Times New Roman" w:hAnsi="Times New Roman" w:eastAsia="宋体" w:cs="Times New Roman"/>
        </w:rPr>
        <w:t>民法典</w:t>
      </w:r>
      <w:r>
        <w:rPr>
          <w:rFonts w:ascii="Times New Roman" w:hAnsi="Times New Roman" w:eastAsia="宋体" w:cs="Times New Roman"/>
        </w:rPr>
        <w:t>》</w:t>
      </w:r>
      <w:r>
        <w:rPr>
          <w:rFonts w:hint="eastAsia" w:ascii="Times New Roman" w:hAnsi="Times New Roman" w:eastAsia="宋体" w:cs="Times New Roman"/>
        </w:rPr>
        <w:t>、《中华人民共和国认证认可条例》</w:t>
      </w:r>
      <w:r>
        <w:rPr>
          <w:rFonts w:ascii="Times New Roman" w:hAnsi="Times New Roman" w:eastAsia="宋体" w:cs="Times New Roman"/>
        </w:rPr>
        <w:t>及其他相关法律、法规的规定，商定乙方按照国家认证认可的法律法规和认证方案为甲方提供认证服务，</w:t>
      </w:r>
      <w:r>
        <w:rPr>
          <w:rFonts w:hint="eastAsia" w:ascii="Times New Roman" w:hAnsi="Times New Roman" w:eastAsia="宋体" w:cs="Times New Roman"/>
        </w:rPr>
        <w:t>甲方</w:t>
      </w:r>
      <w:r>
        <w:rPr>
          <w:rFonts w:ascii="Times New Roman" w:hAnsi="Times New Roman" w:eastAsia="宋体" w:cs="Times New Roman"/>
        </w:rPr>
        <w:t>自愿向乙方提交认证委托</w:t>
      </w:r>
      <w:r>
        <w:rPr>
          <w:rFonts w:hint="eastAsia" w:ascii="Times New Roman" w:hAnsi="Times New Roman" w:eastAsia="宋体" w:cs="Times New Roman"/>
        </w:rPr>
        <w:t>事项</w:t>
      </w:r>
      <w:r>
        <w:rPr>
          <w:rFonts w:ascii="Times New Roman" w:hAnsi="Times New Roman" w:eastAsia="宋体" w:cs="Times New Roman"/>
        </w:rPr>
        <w:t>，经双方平等协商，就认证</w:t>
      </w:r>
      <w:r>
        <w:rPr>
          <w:rFonts w:hint="eastAsia" w:ascii="Times New Roman" w:hAnsi="Times New Roman" w:eastAsia="宋体" w:cs="Times New Roman"/>
        </w:rPr>
        <w:t>事项</w:t>
      </w:r>
      <w:r>
        <w:rPr>
          <w:rFonts w:ascii="Times New Roman" w:hAnsi="Times New Roman" w:eastAsia="宋体" w:cs="Times New Roman"/>
        </w:rPr>
        <w:t>达成一致意见，签订本合同，并承诺共同遵守。</w:t>
      </w:r>
    </w:p>
    <w:p>
      <w:pPr>
        <w:pStyle w:val="33"/>
        <w:tabs>
          <w:tab w:val="left" w:pos="0"/>
          <w:tab w:val="left" w:pos="720"/>
        </w:tabs>
        <w:spacing w:line="360" w:lineRule="auto"/>
      </w:pPr>
    </w:p>
    <w:tbl>
      <w:tblPr>
        <w:tblStyle w:val="15"/>
        <w:tblpPr w:leftFromText="180" w:rightFromText="180" w:vertAnchor="text" w:horzAnchor="margin" w:tblpY="491"/>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2268"/>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rPr>
            </w:pPr>
            <w:r>
              <w:rPr>
                <w:b/>
                <w:bCs/>
              </w:rPr>
              <w:t>认证领域</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rPr>
            </w:pPr>
            <w:r>
              <w:rPr>
                <w:b/>
                <w:bCs/>
              </w:rPr>
              <w:t>依据标准</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1136" w:firstLineChars="539"/>
              <w:rPr>
                <w:b/>
                <w:bCs/>
              </w:rPr>
            </w:pPr>
            <w:r>
              <w:rPr>
                <w:b/>
                <w:bCs/>
              </w:rPr>
              <w:t>认证类型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rPr>
            </w:pPr>
            <w:r>
              <w:t>质量管理体系</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de-DE"/>
              </w:rPr>
              <w:t>GB/T</w:t>
            </w:r>
            <w:r>
              <w:t xml:space="preserve"> </w:t>
            </w:r>
            <w:r>
              <w:rPr>
                <w:lang w:val="de-DE"/>
              </w:rPr>
              <w:t>19001</w:t>
            </w:r>
            <w:r>
              <w:t>/ISO 9001</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ascii="宋体" w:hAnsi="宋体"/>
              </w:rPr>
              <w:t>□</w:t>
            </w:r>
            <w:r>
              <w:t xml:space="preserve">初次认证 </w:t>
            </w:r>
            <w:r>
              <w:rPr>
                <w:rFonts w:hint="eastAsia" w:ascii="宋体" w:hAnsi="宋体"/>
              </w:rPr>
              <w:t>□</w:t>
            </w:r>
            <w:r>
              <w:t xml:space="preserve">再认证 </w:t>
            </w:r>
            <w:r>
              <w:rPr>
                <w:rFonts w:hint="eastAsia" w:ascii="宋体" w:hAnsi="宋体"/>
              </w:rPr>
              <w:t>□</w:t>
            </w:r>
            <w:r>
              <w:rPr>
                <w:bCs/>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环境管理体系</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de-DE"/>
              </w:rPr>
            </w:pPr>
            <w:r>
              <w:rPr>
                <w:bCs/>
              </w:rPr>
              <w:t>GB/</w:t>
            </w:r>
            <w:r>
              <w:rPr>
                <w:lang w:val="de-DE"/>
              </w:rPr>
              <w:t>T 24001</w:t>
            </w:r>
            <w:r>
              <w:t>/</w:t>
            </w:r>
            <w:r>
              <w:rPr>
                <w:lang w:val="de-DE"/>
              </w:rPr>
              <w:t>ISO 14001</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ascii="宋体" w:hAnsi="宋体"/>
              </w:rPr>
              <w:t>□</w:t>
            </w:r>
            <w:r>
              <w:t xml:space="preserve">初次认证 </w:t>
            </w:r>
            <w:r>
              <w:rPr>
                <w:rFonts w:hint="eastAsia" w:ascii="宋体" w:hAnsi="宋体"/>
              </w:rPr>
              <w:t>□</w:t>
            </w:r>
            <w:r>
              <w:t xml:space="preserve">再认证 </w:t>
            </w:r>
            <w:r>
              <w:rPr>
                <w:rFonts w:hint="eastAsia" w:ascii="宋体" w:hAnsi="宋体"/>
              </w:rPr>
              <w:t>□</w:t>
            </w:r>
            <w:r>
              <w:rPr>
                <w:bCs/>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rPr>
            </w:pPr>
            <w:r>
              <w:t>职业健康安全管理体系</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 xml:space="preserve">GB/T 45001/ISO 45001  </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ascii="宋体" w:hAnsi="宋体"/>
              </w:rPr>
              <w:t>□</w:t>
            </w:r>
            <w:r>
              <w:t xml:space="preserve">初次认证 </w:t>
            </w:r>
            <w:r>
              <w:rPr>
                <w:rFonts w:hint="eastAsia" w:ascii="宋体" w:hAnsi="宋体"/>
              </w:rPr>
              <w:t>□</w:t>
            </w:r>
            <w:r>
              <w:t xml:space="preserve">再认证 </w:t>
            </w:r>
            <w:r>
              <w:rPr>
                <w:rFonts w:hint="eastAsia" w:ascii="宋体" w:hAnsi="宋体"/>
              </w:rPr>
              <w:t>□</w:t>
            </w:r>
            <w:r>
              <w:rPr>
                <w:bCs/>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bCs/>
              </w:rPr>
            </w:pPr>
            <w:r>
              <w:rPr>
                <w:bCs/>
              </w:rPr>
              <w:t>其他领域：</w:t>
            </w:r>
            <w:r>
              <w:rPr>
                <w:bCs/>
                <w:u w:val="single"/>
              </w:rPr>
              <w:t xml:space="preserve">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bCs/>
                <w:u w:val="single"/>
              </w:rPr>
              <w:t xml:space="preserve">                      </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ascii="宋体" w:hAnsi="宋体"/>
              </w:rPr>
              <w:t>□</w:t>
            </w:r>
            <w:r>
              <w:t xml:space="preserve">初次认证 </w:t>
            </w:r>
            <w:r>
              <w:rPr>
                <w:rFonts w:hint="eastAsia" w:ascii="宋体" w:hAnsi="宋体"/>
              </w:rPr>
              <w:t>□</w:t>
            </w:r>
            <w:r>
              <w:t xml:space="preserve">再认证 </w:t>
            </w:r>
            <w:r>
              <w:rPr>
                <w:rFonts w:hint="eastAsia" w:ascii="宋体" w:hAnsi="宋体"/>
              </w:rPr>
              <w:t>□</w:t>
            </w:r>
            <w:r>
              <w:rPr>
                <w:bCs/>
                <w:u w:val="single"/>
              </w:rPr>
              <w:t xml:space="preserve">     </w:t>
            </w:r>
          </w:p>
        </w:tc>
      </w:tr>
    </w:tbl>
    <w:p>
      <w:pPr>
        <w:spacing w:line="360" w:lineRule="auto"/>
      </w:pPr>
      <w:r>
        <w:rPr>
          <w:rFonts w:hint="eastAsia"/>
          <w:b/>
          <w:bCs/>
        </w:rPr>
        <w:t>第一条</w:t>
      </w:r>
      <w:r>
        <w:rPr>
          <w:rFonts w:hint="eastAsia"/>
        </w:rPr>
        <w:t xml:space="preserve"> </w:t>
      </w:r>
      <w:r>
        <w:t xml:space="preserve"> 甲方</w:t>
      </w:r>
      <w:r>
        <w:rPr>
          <w:rFonts w:hint="eastAsia"/>
        </w:rPr>
        <w:t>委托</w:t>
      </w:r>
      <w:r>
        <w:t>的认证服务项目如下：</w:t>
      </w:r>
    </w:p>
    <w:p>
      <w:pPr>
        <w:tabs>
          <w:tab w:val="left" w:pos="1125"/>
        </w:tabs>
        <w:spacing w:line="360" w:lineRule="auto"/>
      </w:pPr>
    </w:p>
    <w:p>
      <w:pPr>
        <w:tabs>
          <w:tab w:val="left" w:pos="1125"/>
        </w:tabs>
        <w:spacing w:line="360" w:lineRule="auto"/>
      </w:pPr>
      <w:r>
        <w:rPr>
          <w:rFonts w:hint="eastAsia"/>
          <w:b/>
          <w:bCs/>
        </w:rPr>
        <w:t>第二条</w:t>
      </w:r>
      <w:r>
        <w:rPr>
          <w:rFonts w:hint="eastAsia"/>
        </w:rPr>
        <w:t xml:space="preserve"> </w:t>
      </w:r>
      <w:r>
        <w:t xml:space="preserve"> 认证范围（拟认证的产品和活动）：</w:t>
      </w:r>
    </w:p>
    <w:p>
      <w:pPr>
        <w:spacing w:line="360" w:lineRule="auto"/>
        <w:rPr>
          <w:b/>
        </w:rPr>
      </w:pPr>
      <w:r>
        <w:rPr>
          <w:bCs/>
          <w:u w:val="single"/>
        </w:rPr>
        <w:t xml:space="preserve">                                  </w:t>
      </w:r>
    </w:p>
    <w:p>
      <w:pPr>
        <w:spacing w:line="360" w:lineRule="auto"/>
        <w:rPr>
          <w:bCs/>
          <w:sz w:val="18"/>
          <w:szCs w:val="18"/>
        </w:rPr>
      </w:pPr>
      <w:r>
        <w:rPr>
          <w:rFonts w:hint="eastAsia"/>
          <w:bCs/>
          <w:sz w:val="18"/>
          <w:szCs w:val="18"/>
        </w:rPr>
        <w:t>（</w:t>
      </w:r>
      <w:r>
        <w:rPr>
          <w:bCs/>
          <w:sz w:val="18"/>
          <w:szCs w:val="18"/>
        </w:rPr>
        <w:t>注：以上范围需经现场审核进一步确认，最终以乙方认证决定为准。</w:t>
      </w:r>
      <w:r>
        <w:rPr>
          <w:rFonts w:hint="eastAsia"/>
          <w:bCs/>
          <w:sz w:val="18"/>
          <w:szCs w:val="18"/>
        </w:rPr>
        <w:t>）</w:t>
      </w:r>
    </w:p>
    <w:p>
      <w:pPr>
        <w:pStyle w:val="35"/>
        <w:tabs>
          <w:tab w:val="left" w:pos="1125"/>
        </w:tabs>
        <w:adjustRightInd w:val="0"/>
        <w:spacing w:line="360" w:lineRule="auto"/>
        <w:ind w:firstLine="0" w:firstLineChars="0"/>
      </w:pPr>
    </w:p>
    <w:p>
      <w:pPr>
        <w:tabs>
          <w:tab w:val="left" w:pos="1125"/>
        </w:tabs>
        <w:adjustRightInd w:val="0"/>
        <w:spacing w:line="360" w:lineRule="auto"/>
      </w:pPr>
      <w:r>
        <w:rPr>
          <w:rFonts w:hint="eastAsia"/>
          <w:b/>
          <w:bCs/>
        </w:rPr>
        <w:t>第三条</w:t>
      </w:r>
      <w:r>
        <w:rPr>
          <w:rFonts w:hint="eastAsia"/>
        </w:rPr>
        <w:t xml:space="preserve"> </w:t>
      </w:r>
      <w:r>
        <w:t xml:space="preserve"> 认证覆盖场所：</w:t>
      </w:r>
    </w:p>
    <w:p>
      <w:pPr>
        <w:tabs>
          <w:tab w:val="left" w:pos="1125"/>
        </w:tabs>
        <w:spacing w:line="360" w:lineRule="auto"/>
        <w:rPr>
          <w:bCs/>
        </w:rPr>
      </w:pPr>
      <w:r>
        <w:rPr>
          <w:bCs/>
          <w:u w:val="single"/>
        </w:rPr>
        <w:t xml:space="preserve">                                  </w:t>
      </w:r>
    </w:p>
    <w:p>
      <w:pPr>
        <w:tabs>
          <w:tab w:val="left" w:pos="1125"/>
        </w:tabs>
        <w:spacing w:line="360" w:lineRule="auto"/>
        <w:rPr>
          <w:sz w:val="18"/>
          <w:szCs w:val="18"/>
        </w:rPr>
      </w:pPr>
      <w:r>
        <w:rPr>
          <w:bCs/>
          <w:sz w:val="18"/>
          <w:szCs w:val="18"/>
        </w:rPr>
        <w:t>（注：体系覆盖范围包括多场所或多</w:t>
      </w:r>
      <w:r>
        <w:rPr>
          <w:rFonts w:hint="eastAsia"/>
          <w:bCs/>
          <w:sz w:val="18"/>
          <w:szCs w:val="18"/>
        </w:rPr>
        <w:t>个</w:t>
      </w:r>
      <w:r>
        <w:rPr>
          <w:bCs/>
          <w:sz w:val="18"/>
          <w:szCs w:val="18"/>
        </w:rPr>
        <w:t>法人组织时，甲方应与其签署具备法律效力的协议，证明相关认证要求</w:t>
      </w:r>
      <w:r>
        <w:rPr>
          <w:rFonts w:hint="eastAsia"/>
          <w:bCs/>
          <w:sz w:val="18"/>
          <w:szCs w:val="18"/>
        </w:rPr>
        <w:t>符合</w:t>
      </w:r>
      <w:r>
        <w:rPr>
          <w:bCs/>
          <w:sz w:val="18"/>
          <w:szCs w:val="18"/>
        </w:rPr>
        <w:t>本合同条款</w:t>
      </w:r>
      <w:r>
        <w:rPr>
          <w:rFonts w:hint="eastAsia"/>
          <w:bCs/>
          <w:sz w:val="18"/>
          <w:szCs w:val="18"/>
        </w:rPr>
        <w:t>要求的相关场所和组织内可以</w:t>
      </w:r>
      <w:r>
        <w:rPr>
          <w:bCs/>
          <w:sz w:val="18"/>
          <w:szCs w:val="18"/>
        </w:rPr>
        <w:t>得到执行实施，</w:t>
      </w:r>
      <w:r>
        <w:rPr>
          <w:rFonts w:hint="eastAsia"/>
          <w:bCs/>
          <w:sz w:val="18"/>
          <w:szCs w:val="18"/>
        </w:rPr>
        <w:t>否则</w:t>
      </w:r>
      <w:r>
        <w:rPr>
          <w:bCs/>
          <w:sz w:val="18"/>
          <w:szCs w:val="18"/>
        </w:rPr>
        <w:t>甲方应承担</w:t>
      </w:r>
      <w:r>
        <w:rPr>
          <w:rFonts w:hint="eastAsia"/>
          <w:bCs/>
          <w:sz w:val="18"/>
          <w:szCs w:val="18"/>
        </w:rPr>
        <w:t>违约</w:t>
      </w:r>
      <w:r>
        <w:rPr>
          <w:bCs/>
          <w:sz w:val="18"/>
          <w:szCs w:val="18"/>
        </w:rPr>
        <w:t>责任。）</w:t>
      </w:r>
    </w:p>
    <w:p>
      <w:pPr>
        <w:tabs>
          <w:tab w:val="left" w:pos="1125"/>
        </w:tabs>
        <w:spacing w:line="360" w:lineRule="auto"/>
      </w:pPr>
    </w:p>
    <w:p>
      <w:pPr>
        <w:tabs>
          <w:tab w:val="left" w:pos="1125"/>
        </w:tabs>
        <w:spacing w:line="360" w:lineRule="auto"/>
      </w:pPr>
      <w:r>
        <w:rPr>
          <w:rFonts w:hint="eastAsia"/>
          <w:b/>
          <w:bCs/>
        </w:rPr>
        <w:t>第四条</w:t>
      </w:r>
      <w:r>
        <w:rPr>
          <w:rFonts w:hint="eastAsia"/>
        </w:rPr>
        <w:t xml:space="preserve"> </w:t>
      </w:r>
      <w:r>
        <w:t xml:space="preserve"> 管理体系覆盖人数：</w:t>
      </w:r>
      <w:r>
        <w:rPr>
          <w:u w:val="single"/>
        </w:rPr>
        <w:t xml:space="preserve">       </w:t>
      </w:r>
      <w:r>
        <w:t xml:space="preserve"> 人。</w:t>
      </w:r>
    </w:p>
    <w:p>
      <w:pPr>
        <w:tabs>
          <w:tab w:val="left" w:pos="1125"/>
        </w:tabs>
        <w:spacing w:line="360" w:lineRule="auto"/>
      </w:pPr>
    </w:p>
    <w:p>
      <w:pPr>
        <w:tabs>
          <w:tab w:val="left" w:pos="1125"/>
        </w:tabs>
        <w:spacing w:line="360" w:lineRule="auto"/>
        <w:rPr>
          <w:sz w:val="18"/>
          <w:szCs w:val="18"/>
        </w:rPr>
      </w:pPr>
      <w:r>
        <w:rPr>
          <w:rFonts w:hint="eastAsia"/>
          <w:sz w:val="18"/>
          <w:szCs w:val="18"/>
        </w:rPr>
        <w:t>（注：</w:t>
      </w:r>
      <w:r>
        <w:rPr>
          <w:sz w:val="18"/>
          <w:szCs w:val="18"/>
        </w:rPr>
        <w:t>如多体系认证覆盖人数不同，应分别注明</w:t>
      </w:r>
      <w:r>
        <w:rPr>
          <w:rFonts w:hint="eastAsia"/>
          <w:sz w:val="18"/>
          <w:szCs w:val="18"/>
        </w:rPr>
        <w:t>。</w:t>
      </w:r>
      <w:r>
        <w:rPr>
          <w:sz w:val="18"/>
          <w:szCs w:val="18"/>
        </w:rPr>
        <w:t>）</w:t>
      </w:r>
    </w:p>
    <w:p>
      <w:pPr>
        <w:pStyle w:val="36"/>
        <w:spacing w:line="360" w:lineRule="auto"/>
        <w:ind w:firstLine="0" w:firstLineChars="0"/>
        <w:rPr>
          <w:rFonts w:ascii="宋体" w:hAnsi="宋体" w:eastAsia="宋体"/>
          <w:szCs w:val="21"/>
        </w:rPr>
      </w:pPr>
      <w:r>
        <w:rPr>
          <w:rFonts w:hint="eastAsia" w:ascii="宋体" w:hAnsi="宋体" w:eastAsia="宋体"/>
          <w:b/>
          <w:bCs/>
          <w:szCs w:val="21"/>
        </w:rPr>
        <w:t>第五条</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审核时间 </w:t>
      </w:r>
    </w:p>
    <w:p>
      <w:pPr>
        <w:pStyle w:val="36"/>
        <w:spacing w:line="360" w:lineRule="auto"/>
        <w:rPr>
          <w:rFonts w:ascii="宋体" w:hAnsi="宋体" w:eastAsia="宋体"/>
          <w:szCs w:val="21"/>
        </w:rPr>
      </w:pPr>
      <w:r>
        <w:rPr>
          <w:rFonts w:hint="eastAsia" w:ascii="宋体" w:hAnsi="宋体" w:eastAsia="宋体"/>
          <w:szCs w:val="21"/>
        </w:rPr>
        <w:t>正式现场审核时间以双方确定的审核计划为准。若初次或再认证需实施一、二阶段现场审核，一、二阶段审核应有适当的时间间隔（具体时间间隔以实际情况为准，但需经过乙方确认），以确保甲方有足够时间在二阶段审核前对一阶段发现的问题进行整改。</w:t>
      </w:r>
    </w:p>
    <w:p>
      <w:pPr>
        <w:pStyle w:val="36"/>
        <w:spacing w:line="360" w:lineRule="auto"/>
        <w:ind w:firstLine="0" w:firstLineChars="0"/>
        <w:rPr>
          <w:rFonts w:ascii="宋体" w:hAnsi="宋体" w:eastAsia="宋体"/>
          <w:szCs w:val="21"/>
        </w:rPr>
      </w:pPr>
    </w:p>
    <w:p>
      <w:pPr>
        <w:pStyle w:val="36"/>
        <w:spacing w:line="360" w:lineRule="auto"/>
        <w:ind w:firstLine="0" w:firstLineChars="0"/>
        <w:rPr>
          <w:rFonts w:ascii="宋体" w:hAnsi="宋体" w:eastAsia="宋体"/>
          <w:szCs w:val="21"/>
        </w:rPr>
      </w:pPr>
      <w:r>
        <w:rPr>
          <w:rFonts w:hint="eastAsia" w:ascii="宋体" w:hAnsi="宋体" w:eastAsia="宋体"/>
          <w:b/>
          <w:bCs/>
          <w:szCs w:val="21"/>
        </w:rPr>
        <w:t>第六条</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认证</w:t>
      </w:r>
      <w:r>
        <w:rPr>
          <w:rFonts w:ascii="宋体" w:hAnsi="宋体" w:eastAsia="宋体"/>
          <w:szCs w:val="21"/>
        </w:rPr>
        <w:t>费用及支付方式：</w:t>
      </w:r>
    </w:p>
    <w:tbl>
      <w:tblPr>
        <w:tblStyle w:val="15"/>
        <w:tblW w:w="4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2762"/>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2" w:type="pct"/>
            <w:tcBorders>
              <w:top w:val="single" w:color="auto" w:sz="4" w:space="0"/>
              <w:left w:val="single" w:color="auto" w:sz="4" w:space="0"/>
              <w:bottom w:val="single" w:color="auto" w:sz="4" w:space="0"/>
              <w:right w:val="single" w:color="auto" w:sz="4" w:space="0"/>
            </w:tcBorders>
          </w:tcPr>
          <w:p>
            <w:pPr>
              <w:spacing w:line="360" w:lineRule="auto"/>
              <w:jc w:val="center"/>
            </w:pPr>
            <w:r>
              <w:t>序号</w:t>
            </w:r>
          </w:p>
        </w:tc>
        <w:tc>
          <w:tcPr>
            <w:tcW w:w="2019" w:type="pct"/>
            <w:tcBorders>
              <w:top w:val="single" w:color="auto" w:sz="4" w:space="0"/>
              <w:left w:val="single" w:color="auto" w:sz="4" w:space="0"/>
              <w:bottom w:val="single" w:color="auto" w:sz="4" w:space="0"/>
              <w:right w:val="single" w:color="auto" w:sz="4" w:space="0"/>
            </w:tcBorders>
          </w:tcPr>
          <w:p>
            <w:pPr>
              <w:spacing w:line="360" w:lineRule="auto"/>
              <w:jc w:val="center"/>
            </w:pPr>
            <w:r>
              <w:t>收费项目</w:t>
            </w:r>
          </w:p>
        </w:tc>
        <w:tc>
          <w:tcPr>
            <w:tcW w:w="2129" w:type="pct"/>
            <w:tcBorders>
              <w:top w:val="single" w:color="auto" w:sz="4" w:space="0"/>
              <w:left w:val="single" w:color="auto" w:sz="4" w:space="0"/>
              <w:bottom w:val="single" w:color="auto" w:sz="4" w:space="0"/>
              <w:right w:val="single" w:color="auto" w:sz="4" w:space="0"/>
            </w:tcBorders>
          </w:tcPr>
          <w:p>
            <w:pPr>
              <w:spacing w:line="360" w:lineRule="auto"/>
              <w:jc w:val="center"/>
            </w:pPr>
            <w: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pPr>
            <w:r>
              <w:t>1</w:t>
            </w:r>
          </w:p>
        </w:tc>
        <w:tc>
          <w:tcPr>
            <w:tcW w:w="20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pPr>
            <w:r>
              <w:t>初次认证费</w:t>
            </w:r>
          </w:p>
        </w:tc>
        <w:tc>
          <w:tcPr>
            <w:tcW w:w="21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bCs/>
                <w:u w:val="single"/>
              </w:rPr>
              <w:t xml:space="preserve">       </w:t>
            </w:r>
            <w: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pPr>
            <w:r>
              <w:t>2</w:t>
            </w:r>
          </w:p>
        </w:tc>
        <w:tc>
          <w:tcPr>
            <w:tcW w:w="20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pPr>
            <w:r>
              <w:t>每次监督审核费</w:t>
            </w:r>
          </w:p>
        </w:tc>
        <w:tc>
          <w:tcPr>
            <w:tcW w:w="21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bCs/>
                <w:u w:val="single"/>
              </w:rPr>
              <w:t xml:space="preserve">       </w:t>
            </w:r>
            <w: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pPr>
            <w:r>
              <w:t>3</w:t>
            </w:r>
          </w:p>
        </w:tc>
        <w:tc>
          <w:tcPr>
            <w:tcW w:w="20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pPr>
            <w:r>
              <w:t>再认证费</w:t>
            </w:r>
          </w:p>
        </w:tc>
        <w:tc>
          <w:tcPr>
            <w:tcW w:w="21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bCs/>
                <w:u w:val="single"/>
              </w:rPr>
              <w:t xml:space="preserve">       </w:t>
            </w:r>
            <w: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pPr>
            <w:r>
              <w:t>4</w:t>
            </w:r>
          </w:p>
        </w:tc>
        <w:tc>
          <w:tcPr>
            <w:tcW w:w="20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pPr>
            <w:r>
              <w:t>其它</w:t>
            </w:r>
          </w:p>
        </w:tc>
        <w:tc>
          <w:tcPr>
            <w:tcW w:w="21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bCs/>
                <w:u w:val="single"/>
              </w:rPr>
              <w:t xml:space="preserve">       </w:t>
            </w:r>
            <w:r>
              <w:t>元</w:t>
            </w:r>
          </w:p>
        </w:tc>
      </w:tr>
    </w:tbl>
    <w:p>
      <w:pPr>
        <w:tabs>
          <w:tab w:val="left" w:pos="0"/>
          <w:tab w:val="left" w:pos="2700"/>
        </w:tabs>
        <w:spacing w:line="360" w:lineRule="auto"/>
        <w:ind w:firstLine="420" w:firstLineChars="200"/>
        <w:rPr>
          <w:rFonts w:ascii="宋体" w:hAnsi="宋体" w:cs="宋体"/>
        </w:rPr>
      </w:pPr>
      <w:r>
        <w:rPr>
          <w:rFonts w:hint="eastAsia" w:ascii="宋体" w:hAnsi="宋体" w:cs="宋体"/>
        </w:rPr>
        <w:t>1、初次认证费支付方式：</w:t>
      </w:r>
    </w:p>
    <w:p>
      <w:pPr>
        <w:tabs>
          <w:tab w:val="left" w:pos="0"/>
          <w:tab w:val="left" w:pos="2700"/>
        </w:tabs>
        <w:spacing w:line="360" w:lineRule="auto"/>
        <w:ind w:firstLine="420" w:firstLineChars="200"/>
        <w:rPr>
          <w:rFonts w:ascii="宋体" w:hAnsi="宋体" w:cs="宋体"/>
        </w:rPr>
      </w:pPr>
      <w:r>
        <w:rPr>
          <w:rFonts w:hint="eastAsia" w:ascii="宋体" w:hAnsi="宋体" w:cs="宋体"/>
        </w:rPr>
        <w:t>□甲方应于合同签订后、现场审核前支付合同金额的50%，尾款应于现场审核结束后的一周内付清，若甲方未在前述规定期限内付款的，乙方有权拒绝履行合同，且因此产生的损失由甲方承担。</w:t>
      </w:r>
    </w:p>
    <w:p>
      <w:pPr>
        <w:tabs>
          <w:tab w:val="left" w:pos="0"/>
          <w:tab w:val="left" w:pos="2700"/>
        </w:tabs>
        <w:spacing w:line="360" w:lineRule="auto"/>
        <w:ind w:firstLine="420" w:firstLineChars="200"/>
        <w:rPr>
          <w:rFonts w:ascii="宋体" w:hAnsi="宋体" w:cs="宋体"/>
        </w:rPr>
      </w:pPr>
      <w:r>
        <w:rPr>
          <w:rFonts w:hint="eastAsia" w:ascii="宋体" w:hAnsi="宋体" w:cs="宋体"/>
        </w:rPr>
        <w:t>□甲方应于合同签订后、现场审核前支付100%费用。</w:t>
      </w:r>
    </w:p>
    <w:p>
      <w:pPr>
        <w:tabs>
          <w:tab w:val="left" w:pos="0"/>
          <w:tab w:val="left" w:pos="2700"/>
        </w:tabs>
        <w:spacing w:line="360" w:lineRule="auto"/>
        <w:ind w:firstLine="420" w:firstLineChars="200"/>
        <w:rPr>
          <w:rFonts w:ascii="宋体" w:hAnsi="宋体" w:cs="宋体"/>
        </w:rPr>
      </w:pPr>
      <w:r>
        <w:rPr>
          <w:rFonts w:hint="eastAsia" w:ascii="宋体" w:hAnsi="宋体" w:cs="宋体"/>
        </w:rPr>
        <w:t>2、监督/再认证费付款方式：</w:t>
      </w:r>
    </w:p>
    <w:p>
      <w:pPr>
        <w:tabs>
          <w:tab w:val="left" w:pos="0"/>
          <w:tab w:val="left" w:pos="2700"/>
        </w:tabs>
        <w:spacing w:line="360" w:lineRule="auto"/>
        <w:ind w:firstLine="420" w:firstLineChars="200"/>
        <w:rPr>
          <w:rFonts w:ascii="宋体" w:hAnsi="宋体" w:cs="宋体"/>
        </w:rPr>
      </w:pPr>
      <w:r>
        <w:rPr>
          <w:rFonts w:hint="eastAsia" w:ascii="宋体" w:hAnsi="宋体" w:cs="宋体"/>
        </w:rPr>
        <w:t>甲方应在监督/再认证审核前向乙方支付监督/再认证费，乙方向甲方发出付费通知单后，甲方应在收到付费通知单后5个工作日内付款，若甲方未在规定期限内付款的，乙方有权暂停监督/再认证审核，并无需承担任何违约责任，由此产生的损失由甲方自行承担。</w:t>
      </w:r>
    </w:p>
    <w:p>
      <w:pPr>
        <w:tabs>
          <w:tab w:val="left" w:pos="0"/>
          <w:tab w:val="left" w:pos="2700"/>
        </w:tabs>
        <w:spacing w:line="360" w:lineRule="auto"/>
        <w:ind w:firstLine="420" w:firstLineChars="200"/>
        <w:rPr>
          <w:rFonts w:ascii="宋体" w:hAnsi="宋体" w:cs="宋体"/>
        </w:rPr>
      </w:pPr>
      <w:r>
        <w:rPr>
          <w:rFonts w:hint="eastAsia" w:ascii="宋体" w:hAnsi="宋体" w:cs="宋体"/>
        </w:rPr>
        <w:t>3、无论何种原因造成现场审核未通过而需要额外补充进行的现场审核费用由甲方承担，若由乙方先行垫付的，甲方应予以退还垫付费用。</w:t>
      </w:r>
    </w:p>
    <w:p>
      <w:pPr>
        <w:tabs>
          <w:tab w:val="left" w:pos="0"/>
          <w:tab w:val="left" w:pos="2700"/>
        </w:tabs>
        <w:spacing w:line="360" w:lineRule="auto"/>
        <w:ind w:firstLine="420" w:firstLineChars="200"/>
        <w:rPr>
          <w:rFonts w:ascii="宋体" w:hAnsi="宋体" w:cs="宋体"/>
        </w:rPr>
      </w:pPr>
      <w:r>
        <w:rPr>
          <w:rFonts w:hint="eastAsia" w:ascii="宋体" w:hAnsi="宋体" w:cs="宋体"/>
        </w:rPr>
        <w:t>4、因甲方获证之后管理体系发生变更，甲方需要乙方提供额外认证服务的（如换证、补充审核等），甲乙双方应另行签订协议，具体费用按实际状况重新核算后收取。</w:t>
      </w:r>
    </w:p>
    <w:p>
      <w:pPr>
        <w:tabs>
          <w:tab w:val="left" w:pos="0"/>
          <w:tab w:val="left" w:pos="2700"/>
        </w:tabs>
        <w:spacing w:line="360" w:lineRule="auto"/>
        <w:ind w:firstLine="420" w:firstLineChars="200"/>
        <w:rPr>
          <w:rFonts w:ascii="宋体" w:hAnsi="宋体" w:cs="宋体"/>
        </w:rPr>
      </w:pPr>
      <w:r>
        <w:rPr>
          <w:rFonts w:hint="eastAsia" w:ascii="宋体" w:hAnsi="宋体" w:cs="宋体"/>
        </w:rPr>
        <w:t>5、上述费用不含乙方审核员现场审核所发生的差旅食宿费用，该费用应由甲方凭票予以报销。</w:t>
      </w:r>
    </w:p>
    <w:p>
      <w:pPr>
        <w:tabs>
          <w:tab w:val="left" w:pos="0"/>
          <w:tab w:val="left" w:pos="720"/>
        </w:tabs>
        <w:spacing w:line="360" w:lineRule="auto"/>
      </w:pPr>
    </w:p>
    <w:p>
      <w:pPr>
        <w:spacing w:line="360" w:lineRule="auto"/>
      </w:pPr>
      <w:r>
        <w:rPr>
          <w:rFonts w:hint="eastAsia"/>
          <w:b/>
          <w:bCs/>
        </w:rPr>
        <w:t>第七条</w:t>
      </w:r>
      <w:r>
        <w:rPr>
          <w:rFonts w:hint="eastAsia"/>
        </w:rPr>
        <w:t xml:space="preserve"> </w:t>
      </w:r>
      <w:r>
        <w:t xml:space="preserve"> 甲方</w:t>
      </w:r>
      <w:r>
        <w:rPr>
          <w:rFonts w:hint="eastAsia"/>
        </w:rPr>
        <w:t>权利和义务</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1、有权正确使用认证证书和认证标志，宣传获准认证的事实；</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2、享有由于获准认证以及使用认证标志取得的经济利益；</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3、对乙方关于证书暂停、注销和撤销决定有权提出申诉，有权对不规范的认证行为提出投诉；</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4、建立并保持持续有效运行相应的体系；</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5、始终遵守国家认证认可相关法律法规与乙方的相关认证要求；</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6、按乙方要求提供真实、完整、有效的申请文件，若甲方无法提供真实、完整、有效的申请文件导致乙方无法完成认证的，由甲方自行担责；</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7、按合同的约定及时向乙方支付认证费用；</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8、为实施审核做出所有必要的安排，包括文件、人员、生产活动和区域等。必要时，为观察员、认可评审员等提供工作便利，若因甲方安排不当导致乙方无法按本合同要求完成认证的，所造成的损失由甲方自行承担；</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9、按要求正确使用认证证书、标志和有关信息，不超范围和错误使用；不擅自利用体系认证证书和相关文字、符号误导公众认为其产品或服务通过认证，若因此给乙方造成损失的，乙方有权要求甲方予以赔偿；</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10、宣传与认证结果有关的事项时不应损害乙方的声誉，否则给乙方造成损失的，乙方有权要求甲方予以赔偿；</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11、在获证后维持体系持续有效运行。在证书有效期内，接受并配合乙方的实施监督审核，管理体系发生变化应在变化后书面通知乙方，若甲方未通知乙方的，乙方有权按变化前的管理体系进行监督审核；</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12、在调查投诉、质量事故等特殊情况下应接受乙方开展的现场审核；</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13、协助认可机构、国家认证监管部门开展的见证审核、确认审核、监督检查等；</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13、甲方如达不到或不能保持认证方案的规定要求和条件，自行承担不能取得认证证书或不能保持证书的风险。</w:t>
      </w:r>
    </w:p>
    <w:p>
      <w:pPr>
        <w:tabs>
          <w:tab w:val="left" w:pos="425"/>
        </w:tabs>
        <w:adjustRightInd w:val="0"/>
        <w:snapToGrid w:val="0"/>
        <w:spacing w:line="360" w:lineRule="auto"/>
      </w:pPr>
    </w:p>
    <w:p>
      <w:pPr>
        <w:spacing w:line="360" w:lineRule="auto"/>
      </w:pPr>
      <w:r>
        <w:rPr>
          <w:rFonts w:hint="eastAsia"/>
          <w:b/>
          <w:bCs/>
        </w:rPr>
        <w:t>第八条</w:t>
      </w:r>
      <w:r>
        <w:rPr>
          <w:rFonts w:hint="eastAsia"/>
        </w:rPr>
        <w:t xml:space="preserve"> </w:t>
      </w:r>
      <w:r>
        <w:t xml:space="preserve"> 乙方权利和义务</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1、当甲方不满足认证要求时，乙方有权不颁发认证证书和标志，且乙方有权不予退还已收取的认证费用。如因甲方未按管理体系运行或因甲方过失造成自身的损失乙方不予负责；</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2、如甲方管理体系、产品发生重大变</w:t>
      </w:r>
      <w:bookmarkStart w:id="0" w:name="_GoBack"/>
      <w:bookmarkEnd w:id="0"/>
      <w:r>
        <w:rPr>
          <w:rFonts w:hint="eastAsia" w:ascii="宋体" w:hAnsi="宋体" w:cs="宋体"/>
        </w:rPr>
        <w:t>化或异常情况时，乙方有权增加监督审核频次，由此支付的额外费用由双方另行协商确定，若双方无法协商确定的，乙方有权拒绝增加审核频次，由此产生的责任由甲方自行承担。</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3、甲方获得认证后如不按时支付监督审核费，乙方有权暂停直至撤销甲方的认证证书并要求甲方停止使用并交还相关的认证证书和标志；</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4、有权公布甲方的获证、暂停、注销和撤销认证信息；</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5、严格遵守国家各种认证的法律法规，客观、公正地为甲方提供认证服务；</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6、向甲方提供认证资格证明文件及公开性文件；</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7、在签订合同后委派有资格人员组成审核组实施审核；</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8、向甲方及时提交审核计划，按双方约定时间实施审核并出具审核报告；</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9、遵守公正性与保密声明。当向其他机构（如行政/司法机关、认可机构）公开保密信息时，应通知甲方。</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10、通过审核证明甲方满足认证要求后，及时向甲方颁发认证证书；</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11、甲方获证后，乙方应定期对甲方获证体系实施监督审核，并根据双方对再认证的协议按期实施再认证换证审核，具体认证换证审核的费用以双方另行签订的协议为准；</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12、当认证要求发生变更或者更改时应及时通知甲方，并验证甲方是否符合新要求；</w:t>
      </w:r>
    </w:p>
    <w:p>
      <w:pPr>
        <w:numPr>
          <w:ilvl w:val="255"/>
          <w:numId w:val="0"/>
        </w:numPr>
        <w:tabs>
          <w:tab w:val="left" w:pos="0"/>
          <w:tab w:val="left" w:pos="2700"/>
        </w:tabs>
        <w:spacing w:line="360" w:lineRule="auto"/>
        <w:ind w:firstLine="420" w:firstLineChars="200"/>
        <w:rPr>
          <w:rFonts w:ascii="宋体" w:hAnsi="宋体" w:cs="宋体"/>
        </w:rPr>
      </w:pPr>
      <w:r>
        <w:rPr>
          <w:rFonts w:hint="eastAsia" w:ascii="宋体" w:hAnsi="宋体" w:cs="宋体"/>
        </w:rPr>
        <w:t>13、做出暂停、撤消认证证书的决定时，必须书面通知甲方并说明理由，</w:t>
      </w:r>
    </w:p>
    <w:p>
      <w:pPr>
        <w:tabs>
          <w:tab w:val="left" w:pos="360"/>
          <w:tab w:val="left" w:pos="540"/>
        </w:tabs>
        <w:adjustRightInd w:val="0"/>
        <w:snapToGrid w:val="0"/>
        <w:spacing w:line="360" w:lineRule="auto"/>
        <w:ind w:left="-2"/>
      </w:pPr>
    </w:p>
    <w:p>
      <w:pPr>
        <w:tabs>
          <w:tab w:val="left" w:pos="360"/>
          <w:tab w:val="left" w:pos="540"/>
        </w:tabs>
        <w:adjustRightInd w:val="0"/>
        <w:snapToGrid w:val="0"/>
        <w:spacing w:line="360" w:lineRule="auto"/>
      </w:pPr>
      <w:r>
        <w:rPr>
          <w:rFonts w:hint="eastAsia"/>
          <w:b/>
          <w:bCs/>
        </w:rPr>
        <w:t>第九条</w:t>
      </w:r>
      <w:r>
        <w:rPr>
          <w:rFonts w:hint="eastAsia"/>
        </w:rPr>
        <w:t xml:space="preserve"> </w:t>
      </w:r>
      <w:r>
        <w:t xml:space="preserve"> </w:t>
      </w:r>
    </w:p>
    <w:p>
      <w:pPr>
        <w:tabs>
          <w:tab w:val="left" w:pos="0"/>
          <w:tab w:val="left" w:pos="2700"/>
        </w:tabs>
        <w:spacing w:line="360" w:lineRule="auto"/>
        <w:ind w:firstLine="420" w:firstLineChars="200"/>
        <w:rPr>
          <w:rFonts w:ascii="宋体" w:hAnsi="宋体" w:cs="宋体"/>
        </w:rPr>
      </w:pPr>
      <w:r>
        <w:rPr>
          <w:rFonts w:hint="eastAsia" w:ascii="宋体" w:hAnsi="宋体" w:cs="宋体"/>
        </w:rPr>
        <w:t>如乙方在审核进程中发现甲方申请文件严重不符合认证时要求或甲方的要求情况不推荐注册认证的，乙方应向甲方通报理由，由双方协商确定后续的处理措施（如重新修改审核计划，改变审核目的、审核范围或终止审核等），由此产生的其他相关费用由甲方承担。若甲方仍然坚持乙方对甲方认证的，由此产生的责任损失由甲方自行承担。</w:t>
      </w:r>
    </w:p>
    <w:p>
      <w:pPr>
        <w:tabs>
          <w:tab w:val="left" w:pos="0"/>
          <w:tab w:val="left" w:pos="2700"/>
        </w:tabs>
        <w:spacing w:line="360" w:lineRule="auto"/>
        <w:ind w:firstLine="420" w:firstLineChars="200"/>
        <w:rPr>
          <w:rFonts w:ascii="宋体" w:hAnsi="宋体" w:cs="宋体"/>
        </w:rPr>
      </w:pPr>
    </w:p>
    <w:p>
      <w:pPr>
        <w:tabs>
          <w:tab w:val="left" w:pos="360"/>
        </w:tabs>
        <w:adjustRightInd w:val="0"/>
        <w:snapToGrid w:val="0"/>
        <w:spacing w:line="360" w:lineRule="auto"/>
      </w:pPr>
      <w:r>
        <w:rPr>
          <w:rFonts w:hint="eastAsia"/>
          <w:b/>
          <w:bCs/>
        </w:rPr>
        <w:t>第十条</w:t>
      </w:r>
      <w:r>
        <w:rPr>
          <w:rFonts w:hint="eastAsia"/>
        </w:rPr>
        <w:t xml:space="preserve"> </w:t>
      </w:r>
      <w:r>
        <w:t xml:space="preserve"> 如甲方在现场审核结束后未能按乙方规定的期限配合乙方对其严重不符合的纠正和纠正措施实施验证，则乙方需再实施第二阶段审核所发生的费用由甲方承担。</w:t>
      </w:r>
    </w:p>
    <w:p>
      <w:pPr>
        <w:tabs>
          <w:tab w:val="left" w:pos="360"/>
        </w:tabs>
        <w:adjustRightInd w:val="0"/>
        <w:snapToGrid w:val="0"/>
        <w:spacing w:line="360" w:lineRule="auto"/>
      </w:pPr>
    </w:p>
    <w:p>
      <w:pPr>
        <w:adjustRightInd w:val="0"/>
        <w:snapToGrid w:val="0"/>
        <w:spacing w:line="360" w:lineRule="auto"/>
      </w:pPr>
      <w:r>
        <w:rPr>
          <w:rFonts w:hint="eastAsia"/>
          <w:b/>
          <w:bCs/>
        </w:rPr>
        <w:t>第十一条</w:t>
      </w:r>
      <w:r>
        <w:rPr>
          <w:rFonts w:hint="eastAsia"/>
        </w:rPr>
        <w:t xml:space="preserve"> </w:t>
      </w:r>
      <w:r>
        <w:t xml:space="preserve"> </w:t>
      </w:r>
      <w:r>
        <w:rPr>
          <w:rFonts w:hint="eastAsia"/>
        </w:rPr>
        <w:t>违约责任</w:t>
      </w:r>
    </w:p>
    <w:p>
      <w:pPr>
        <w:tabs>
          <w:tab w:val="left" w:pos="0"/>
          <w:tab w:val="left" w:pos="2700"/>
        </w:tabs>
        <w:spacing w:line="360" w:lineRule="auto"/>
        <w:ind w:firstLine="420" w:firstLineChars="200"/>
        <w:rPr>
          <w:rFonts w:ascii="宋体" w:hAnsi="宋体" w:cs="宋体"/>
        </w:rPr>
      </w:pPr>
      <w:r>
        <w:rPr>
          <w:rFonts w:hint="eastAsia" w:ascii="宋体" w:hAnsi="宋体" w:cs="宋体"/>
        </w:rPr>
        <w:t>1、如甲方中途提出终止审核，甲方仍应支付已发生的相关费用，且已支付的费用乙方不予退还。</w:t>
      </w:r>
    </w:p>
    <w:p>
      <w:pPr>
        <w:tabs>
          <w:tab w:val="left" w:pos="0"/>
          <w:tab w:val="left" w:pos="2700"/>
        </w:tabs>
        <w:spacing w:line="360" w:lineRule="auto"/>
        <w:ind w:firstLine="420" w:firstLineChars="200"/>
        <w:rPr>
          <w:rFonts w:ascii="宋体" w:hAnsi="宋体" w:cs="宋体"/>
        </w:rPr>
      </w:pPr>
      <w:r>
        <w:rPr>
          <w:rFonts w:hint="eastAsia" w:ascii="宋体" w:hAnsi="宋体" w:cs="宋体"/>
        </w:rPr>
        <w:t>2、因甲方原因导致乙方无法完成认证或认证失败的，甲方仍应按本合同约定向乙方支付全额费用。</w:t>
      </w:r>
    </w:p>
    <w:p>
      <w:pPr>
        <w:tabs>
          <w:tab w:val="left" w:pos="0"/>
          <w:tab w:val="left" w:pos="2700"/>
        </w:tabs>
        <w:spacing w:line="360" w:lineRule="auto"/>
        <w:ind w:firstLine="420" w:firstLineChars="200"/>
        <w:rPr>
          <w:rFonts w:ascii="宋体" w:hAnsi="宋体" w:cs="宋体"/>
        </w:rPr>
      </w:pPr>
      <w:r>
        <w:rPr>
          <w:rFonts w:hint="eastAsia" w:ascii="宋体" w:hAnsi="宋体" w:cs="宋体"/>
        </w:rPr>
        <w:t>3、甲方应正确合理使用认证证书和认证标志，不得用于违法犯罪行为，若因违法犯罪被相关司法机关追责给乙方造成损失的，甲方应予以赔偿。</w:t>
      </w:r>
    </w:p>
    <w:p>
      <w:pPr>
        <w:tabs>
          <w:tab w:val="left" w:pos="0"/>
          <w:tab w:val="left" w:pos="2700"/>
        </w:tabs>
        <w:spacing w:line="360" w:lineRule="auto"/>
        <w:ind w:firstLine="420" w:firstLineChars="200"/>
        <w:rPr>
          <w:rFonts w:ascii="宋体" w:hAnsi="宋体" w:cs="宋体"/>
        </w:rPr>
      </w:pPr>
      <w:r>
        <w:rPr>
          <w:rFonts w:hint="eastAsia" w:ascii="宋体" w:hAnsi="宋体" w:cs="宋体"/>
        </w:rPr>
        <w:t>4、在甲方获得认证证书、标志和有关信息后，乙方有权随时监督审核甲方所建立相应的运行体系。若发现不符合要求时，有权要求甲方予以整改。若甲方拒绝整改导致认证证书被暂停或者撤销的，由此产生的责任由甲方自行承担。</w:t>
      </w:r>
    </w:p>
    <w:p>
      <w:pPr>
        <w:tabs>
          <w:tab w:val="left" w:pos="0"/>
          <w:tab w:val="left" w:pos="2700"/>
        </w:tabs>
        <w:spacing w:line="360" w:lineRule="auto"/>
        <w:ind w:firstLine="420" w:firstLineChars="200"/>
        <w:rPr>
          <w:rFonts w:ascii="宋体" w:hAnsi="宋体" w:cs="宋体"/>
        </w:rPr>
      </w:pPr>
      <w:r>
        <w:rPr>
          <w:rFonts w:hint="eastAsia" w:ascii="宋体" w:hAnsi="宋体" w:cs="宋体"/>
        </w:rPr>
        <w:t>5、甲方应按本合同约定及时向乙方支付审核认证费用，若甲方延期付款的，乙方有权暂停甲方的认证证书。若甲方逾期支付达15日的，乙方有权撤销甲方的认证证书并要求甲方停止使用并交还相关的认证证书和标志。</w:t>
      </w:r>
    </w:p>
    <w:p>
      <w:pPr>
        <w:tabs>
          <w:tab w:val="left" w:pos="0"/>
          <w:tab w:val="left" w:pos="2700"/>
        </w:tabs>
        <w:spacing w:line="360" w:lineRule="auto"/>
        <w:ind w:firstLine="420" w:firstLineChars="200"/>
        <w:rPr>
          <w:rFonts w:ascii="宋体" w:hAnsi="宋体" w:cs="宋体"/>
        </w:rPr>
      </w:pPr>
      <w:r>
        <w:rPr>
          <w:rFonts w:hint="eastAsia" w:ascii="宋体" w:hAnsi="宋体" w:cs="宋体"/>
        </w:rPr>
        <w:t>6、在合同有效期内，由于甲方或乙方责任使另一方利益受损失的，责任方应承担赔偿，赔偿的实施由双方另行协商解决。</w:t>
      </w:r>
    </w:p>
    <w:p>
      <w:pPr>
        <w:tabs>
          <w:tab w:val="left" w:pos="0"/>
          <w:tab w:val="left" w:pos="2700"/>
        </w:tabs>
        <w:spacing w:line="360" w:lineRule="auto"/>
        <w:ind w:firstLine="420" w:firstLineChars="200"/>
        <w:rPr>
          <w:rFonts w:ascii="宋体" w:hAnsi="宋体" w:cs="宋体"/>
        </w:rPr>
      </w:pPr>
      <w:r>
        <w:rPr>
          <w:rFonts w:hint="eastAsia" w:ascii="宋体" w:hAnsi="宋体" w:cs="宋体"/>
        </w:rPr>
        <w:t>7、本合同所指“损失”包括但不限于守约方因此而遭受的经济损失、预期利益损失以及为处理本协议事项而支付的费用（含律师代理费、仲裁费、诉讼费、差旅费、公证费、鉴定费、公告费、材料费、调查费、评估费、第三方索赔费用等）。</w:t>
      </w:r>
    </w:p>
    <w:p>
      <w:pPr>
        <w:adjustRightInd w:val="0"/>
        <w:snapToGrid w:val="0"/>
        <w:spacing w:line="360" w:lineRule="auto"/>
      </w:pPr>
    </w:p>
    <w:p>
      <w:pPr>
        <w:adjustRightInd w:val="0"/>
        <w:snapToGrid w:val="0"/>
        <w:spacing w:line="360" w:lineRule="auto"/>
        <w:ind w:left="-2"/>
      </w:pPr>
      <w:r>
        <w:rPr>
          <w:b/>
          <w:bCs/>
        </w:rPr>
        <w:t>第</w:t>
      </w:r>
      <w:r>
        <w:rPr>
          <w:rFonts w:hint="eastAsia"/>
          <w:b/>
          <w:bCs/>
        </w:rPr>
        <w:t>十二</w:t>
      </w:r>
      <w:r>
        <w:rPr>
          <w:b/>
          <w:bCs/>
        </w:rPr>
        <w:t>条</w:t>
      </w:r>
      <w:r>
        <w:t xml:space="preserve"> </w:t>
      </w:r>
      <w:r>
        <w:rPr>
          <w:rFonts w:hint="eastAsia"/>
        </w:rPr>
        <w:t>不可抗力</w:t>
      </w:r>
    </w:p>
    <w:p>
      <w:pPr>
        <w:tabs>
          <w:tab w:val="left" w:pos="0"/>
          <w:tab w:val="left" w:pos="2700"/>
        </w:tabs>
        <w:spacing w:line="360" w:lineRule="auto"/>
        <w:ind w:firstLine="420" w:firstLineChars="200"/>
        <w:rPr>
          <w:rFonts w:ascii="宋体" w:hAnsi="宋体" w:cs="宋体"/>
        </w:rPr>
      </w:pPr>
      <w:r>
        <w:rPr>
          <w:rFonts w:hint="eastAsia" w:ascii="宋体" w:hAnsi="宋体" w:cs="宋体"/>
        </w:rPr>
        <w:t>双方因不可抗力造成的合同延迟或失败，免除赔偿责任, 包括但不限于战争、天灾、火灾、爆炸、劳工争议、国家政策或法规调整等，受到影响的一方应立即书面通知另一方，若未及时通知给另一方造成损失的，受影响方应予以赔偿。</w:t>
      </w:r>
    </w:p>
    <w:p>
      <w:pPr>
        <w:adjustRightInd w:val="0"/>
        <w:snapToGrid w:val="0"/>
        <w:spacing w:line="360" w:lineRule="auto"/>
        <w:ind w:left="-2"/>
      </w:pPr>
    </w:p>
    <w:p>
      <w:pPr>
        <w:spacing w:line="360" w:lineRule="auto"/>
      </w:pPr>
      <w:r>
        <w:rPr>
          <w:b/>
          <w:bCs/>
        </w:rPr>
        <w:t>第</w:t>
      </w:r>
      <w:r>
        <w:rPr>
          <w:rFonts w:hint="eastAsia"/>
          <w:b/>
          <w:bCs/>
        </w:rPr>
        <w:t>十三</w:t>
      </w:r>
      <w:r>
        <w:rPr>
          <w:b/>
          <w:bCs/>
        </w:rPr>
        <w:t>条</w:t>
      </w:r>
      <w:r>
        <w:t xml:space="preserve"> </w:t>
      </w:r>
      <w:r>
        <w:rPr>
          <w:rFonts w:hint="eastAsia"/>
        </w:rPr>
        <w:t>廉洁条款</w:t>
      </w:r>
    </w:p>
    <w:p>
      <w:pPr>
        <w:tabs>
          <w:tab w:val="left" w:pos="0"/>
          <w:tab w:val="left" w:pos="2700"/>
        </w:tabs>
        <w:spacing w:line="360" w:lineRule="auto"/>
        <w:ind w:firstLine="420" w:firstLineChars="200"/>
        <w:rPr>
          <w:rFonts w:ascii="宋体" w:hAnsi="宋体" w:cs="宋体"/>
        </w:rPr>
      </w:pPr>
      <w:r>
        <w:rPr>
          <w:rFonts w:hint="eastAsia" w:ascii="宋体" w:hAnsi="宋体" w:cs="宋体"/>
        </w:rPr>
        <w:t>乙方郑重声明，为了确保认证过程的公正性，甲方不得向乙方有关的工作人员提供各种礼品、礼金、购物卡等财物；不得邀请乙方有关工作人员参加甲方的娱乐活动，不得接受任何以乙方名义进行的咨询服务等；按照实报实销的原则报销审核员差旅费用。如甲方违反上述审核过程中的廉洁公正性要求的，可能导致审核无效，由此产生的一切后果由甲方予以承担。</w:t>
      </w:r>
    </w:p>
    <w:p>
      <w:pPr>
        <w:spacing w:line="360" w:lineRule="auto"/>
      </w:pPr>
    </w:p>
    <w:p>
      <w:pPr>
        <w:spacing w:line="360" w:lineRule="auto"/>
      </w:pPr>
      <w:r>
        <w:rPr>
          <w:b/>
          <w:bCs/>
        </w:rPr>
        <w:t>第</w:t>
      </w:r>
      <w:r>
        <w:rPr>
          <w:rFonts w:hint="eastAsia"/>
          <w:b/>
          <w:bCs/>
        </w:rPr>
        <w:t>十四</w:t>
      </w:r>
      <w:r>
        <w:rPr>
          <w:b/>
          <w:bCs/>
        </w:rPr>
        <w:t>条</w:t>
      </w:r>
      <w:r>
        <w:t xml:space="preserve">  </w:t>
      </w:r>
      <w:r>
        <w:rPr>
          <w:rFonts w:hint="eastAsia"/>
        </w:rPr>
        <w:t>争议解决方式</w:t>
      </w:r>
    </w:p>
    <w:p>
      <w:pPr>
        <w:tabs>
          <w:tab w:val="left" w:pos="0"/>
          <w:tab w:val="left" w:pos="2700"/>
        </w:tabs>
        <w:spacing w:line="360" w:lineRule="auto"/>
        <w:ind w:firstLine="420" w:firstLineChars="200"/>
        <w:rPr>
          <w:rFonts w:ascii="宋体" w:hAnsi="宋体" w:cs="宋体"/>
        </w:rPr>
      </w:pPr>
      <w:r>
        <w:rPr>
          <w:rFonts w:hint="eastAsia" w:ascii="宋体" w:hAnsi="宋体" w:cs="宋体"/>
        </w:rPr>
        <w:t>在本合同实施中发生的争议，应本着友好协商的原则加以解决，若协商不成，可向乙方所在地人民法院提起诉讼。</w:t>
      </w:r>
    </w:p>
    <w:p>
      <w:pPr>
        <w:tabs>
          <w:tab w:val="left" w:pos="1260"/>
          <w:tab w:val="left" w:pos="2040"/>
        </w:tabs>
        <w:spacing w:line="360" w:lineRule="auto"/>
      </w:pPr>
    </w:p>
    <w:p>
      <w:pPr>
        <w:tabs>
          <w:tab w:val="left" w:pos="1260"/>
          <w:tab w:val="left" w:pos="2040"/>
        </w:tabs>
        <w:spacing w:line="360" w:lineRule="auto"/>
      </w:pPr>
      <w:r>
        <w:rPr>
          <w:b/>
          <w:bCs/>
        </w:rPr>
        <w:t>第</w:t>
      </w:r>
      <w:r>
        <w:rPr>
          <w:rFonts w:hint="eastAsia"/>
          <w:b/>
          <w:bCs/>
        </w:rPr>
        <w:t>十五</w:t>
      </w:r>
      <w:r>
        <w:rPr>
          <w:b/>
          <w:bCs/>
        </w:rPr>
        <w:t>条</w:t>
      </w:r>
      <w:r>
        <w:t xml:space="preserve">  </w:t>
      </w:r>
      <w:r>
        <w:rPr>
          <w:rFonts w:hint="eastAsia" w:ascii="宋体" w:hAnsi="宋体" w:cs="宋体"/>
        </w:rPr>
        <w:t>本合同未尽事宜，双方同意通过补充协议予以规定，补充协议与本合同具有同等效力。补充协议与本合同约定不一致的，以补充协议为准。</w:t>
      </w:r>
    </w:p>
    <w:p>
      <w:pPr>
        <w:tabs>
          <w:tab w:val="left" w:pos="1260"/>
          <w:tab w:val="left" w:pos="2040"/>
        </w:tabs>
        <w:spacing w:line="360" w:lineRule="auto"/>
      </w:pPr>
    </w:p>
    <w:p>
      <w:pPr>
        <w:tabs>
          <w:tab w:val="left" w:pos="1260"/>
          <w:tab w:val="left" w:pos="2040"/>
        </w:tabs>
        <w:spacing w:line="360" w:lineRule="auto"/>
      </w:pPr>
      <w:r>
        <w:rPr>
          <w:b/>
          <w:bCs/>
        </w:rPr>
        <w:t>第</w:t>
      </w:r>
      <w:r>
        <w:rPr>
          <w:rFonts w:hint="eastAsia"/>
          <w:b/>
          <w:bCs/>
        </w:rPr>
        <w:t>十六</w:t>
      </w:r>
      <w:r>
        <w:rPr>
          <w:b/>
          <w:bCs/>
        </w:rPr>
        <w:t>条</w:t>
      </w:r>
      <w:r>
        <w:t xml:space="preserve">  </w:t>
      </w:r>
      <w:r>
        <w:rPr>
          <w:rFonts w:hint="eastAsia"/>
        </w:rPr>
        <w:t>其他</w:t>
      </w:r>
    </w:p>
    <w:p>
      <w:pPr>
        <w:tabs>
          <w:tab w:val="left" w:pos="0"/>
          <w:tab w:val="left" w:pos="2700"/>
        </w:tabs>
        <w:spacing w:line="360" w:lineRule="auto"/>
        <w:ind w:firstLine="420" w:firstLineChars="200"/>
        <w:jc w:val="left"/>
        <w:rPr>
          <w:rFonts w:ascii="宋体" w:hAnsi="宋体" w:cs="宋体"/>
        </w:rPr>
      </w:pPr>
      <w:r>
        <w:rPr>
          <w:rFonts w:hint="eastAsia" w:ascii="宋体" w:hAnsi="宋体" w:cs="宋体"/>
        </w:rPr>
        <w:t>1、本合同有效期自签订之日起生效，至证书失效时止。管理体系认证证书有效期为3年。</w:t>
      </w:r>
    </w:p>
    <w:p>
      <w:pPr>
        <w:tabs>
          <w:tab w:val="left" w:pos="0"/>
          <w:tab w:val="left" w:pos="2700"/>
        </w:tabs>
        <w:spacing w:line="360" w:lineRule="auto"/>
        <w:ind w:firstLine="420" w:firstLineChars="200"/>
        <w:jc w:val="left"/>
      </w:pPr>
      <w:r>
        <w:rPr>
          <w:rFonts w:hint="eastAsia" w:ascii="宋体" w:hAnsi="宋体" w:cs="宋体"/>
        </w:rPr>
        <w:t>2、本合同一式二份，甲方和乙方各执一份，具有同等的法律效力，自双方代表签字之日起生效。注销或撤消认证证</w:t>
      </w:r>
      <w:r>
        <w:t>书的同时，本合同书终止，但违约责任、争议处理等条款继续有效。</w:t>
      </w:r>
    </w:p>
    <w:p>
      <w:pPr>
        <w:adjustRightInd w:val="0"/>
        <w:snapToGrid w:val="0"/>
        <w:spacing w:line="360" w:lineRule="auto"/>
        <w:ind w:left="-2"/>
        <w:jc w:val="center"/>
      </w:pPr>
      <w:r>
        <w:rPr>
          <w:rFonts w:hint="eastAsia"/>
        </w:rPr>
        <w:t>（以下无正文）</w:t>
      </w:r>
    </w:p>
    <w:p>
      <w:pPr>
        <w:adjustRightInd w:val="0"/>
        <w:snapToGrid w:val="0"/>
        <w:spacing w:line="360" w:lineRule="auto"/>
        <w:ind w:left="-2"/>
      </w:pPr>
    </w:p>
    <w:tbl>
      <w:tblPr>
        <w:tblStyle w:val="15"/>
        <w:tblW w:w="9639" w:type="dxa"/>
        <w:jc w:val="center"/>
        <w:tblLayout w:type="fixed"/>
        <w:tblCellMar>
          <w:top w:w="0" w:type="dxa"/>
          <w:left w:w="108" w:type="dxa"/>
          <w:bottom w:w="0" w:type="dxa"/>
          <w:right w:w="108" w:type="dxa"/>
        </w:tblCellMar>
      </w:tblPr>
      <w:tblGrid>
        <w:gridCol w:w="4778"/>
        <w:gridCol w:w="4861"/>
      </w:tblGrid>
      <w:tr>
        <w:tblPrEx>
          <w:tblCellMar>
            <w:top w:w="0" w:type="dxa"/>
            <w:left w:w="108" w:type="dxa"/>
            <w:bottom w:w="0" w:type="dxa"/>
            <w:right w:w="108" w:type="dxa"/>
          </w:tblCellMar>
        </w:tblPrEx>
        <w:trPr>
          <w:trHeight w:val="581" w:hRule="atLeast"/>
          <w:jc w:val="center"/>
        </w:trPr>
        <w:tc>
          <w:tcPr>
            <w:tcW w:w="4778" w:type="dxa"/>
          </w:tcPr>
          <w:p>
            <w:pPr>
              <w:spacing w:line="360" w:lineRule="auto"/>
              <w:ind w:firstLine="632" w:firstLineChars="300"/>
              <w:rPr>
                <w:b/>
                <w:bCs/>
              </w:rPr>
            </w:pPr>
            <w:r>
              <w:rPr>
                <w:b/>
                <w:bCs/>
              </w:rPr>
              <w:t>甲方：</w:t>
            </w:r>
          </w:p>
          <w:p>
            <w:pPr>
              <w:spacing w:line="360" w:lineRule="auto"/>
              <w:ind w:firstLine="422" w:firstLineChars="200"/>
              <w:rPr>
                <w:b/>
                <w:bCs/>
              </w:rPr>
            </w:pPr>
            <w:r>
              <w:rPr>
                <w:b/>
                <w:bCs/>
              </w:rPr>
              <w:t>（盖章）</w:t>
            </w:r>
          </w:p>
        </w:tc>
        <w:tc>
          <w:tcPr>
            <w:tcW w:w="4861" w:type="dxa"/>
          </w:tcPr>
          <w:p>
            <w:pPr>
              <w:spacing w:line="360" w:lineRule="auto"/>
              <w:ind w:firstLine="211" w:firstLineChars="100"/>
              <w:rPr>
                <w:b/>
                <w:bCs/>
              </w:rPr>
            </w:pPr>
            <w:r>
              <w:rPr>
                <w:b/>
                <w:bCs/>
              </w:rPr>
              <w:t>乙方：</w:t>
            </w:r>
            <w:r>
              <w:rPr>
                <w:rFonts w:hint="eastAsia"/>
                <w:b/>
                <w:bCs/>
              </w:rPr>
              <w:t>上海中豪认证有限公司</w:t>
            </w:r>
          </w:p>
          <w:p>
            <w:pPr>
              <w:spacing w:line="360" w:lineRule="auto"/>
              <w:rPr>
                <w:b/>
                <w:bCs/>
              </w:rPr>
            </w:pPr>
            <w:r>
              <w:rPr>
                <w:b/>
                <w:bCs/>
              </w:rPr>
              <w:t xml:space="preserve">（盖章） </w:t>
            </w:r>
          </w:p>
        </w:tc>
      </w:tr>
      <w:tr>
        <w:tblPrEx>
          <w:tblCellMar>
            <w:top w:w="0" w:type="dxa"/>
            <w:left w:w="108" w:type="dxa"/>
            <w:bottom w:w="0" w:type="dxa"/>
            <w:right w:w="108" w:type="dxa"/>
          </w:tblCellMar>
        </w:tblPrEx>
        <w:trPr>
          <w:trHeight w:val="508" w:hRule="atLeast"/>
          <w:jc w:val="center"/>
        </w:trPr>
        <w:tc>
          <w:tcPr>
            <w:tcW w:w="4778" w:type="dxa"/>
          </w:tcPr>
          <w:p>
            <w:pPr>
              <w:ind w:firstLine="632" w:firstLineChars="300"/>
              <w:rPr>
                <w:b/>
                <w:bCs/>
              </w:rPr>
            </w:pPr>
          </w:p>
          <w:p>
            <w:pPr>
              <w:ind w:firstLine="422" w:firstLineChars="200"/>
              <w:rPr>
                <w:b/>
                <w:bCs/>
              </w:rPr>
            </w:pPr>
            <w:r>
              <w:rPr>
                <w:b/>
                <w:bCs/>
              </w:rPr>
              <w:t xml:space="preserve">法定代表人/授权代表 </w:t>
            </w:r>
          </w:p>
        </w:tc>
        <w:tc>
          <w:tcPr>
            <w:tcW w:w="4861" w:type="dxa"/>
          </w:tcPr>
          <w:p>
            <w:pPr>
              <w:rPr>
                <w:b/>
                <w:bCs/>
              </w:rPr>
            </w:pPr>
          </w:p>
          <w:p>
            <w:pPr>
              <w:ind w:firstLine="105" w:firstLineChars="50"/>
              <w:jc w:val="left"/>
              <w:rPr>
                <w:b/>
                <w:bCs/>
              </w:rPr>
            </w:pPr>
            <w:r>
              <w:rPr>
                <w:b/>
                <w:bCs/>
              </w:rPr>
              <w:t>法定代表人/授权代表：</w:t>
            </w:r>
          </w:p>
        </w:tc>
      </w:tr>
      <w:tr>
        <w:tblPrEx>
          <w:tblCellMar>
            <w:top w:w="0" w:type="dxa"/>
            <w:left w:w="108" w:type="dxa"/>
            <w:bottom w:w="0" w:type="dxa"/>
            <w:right w:w="108" w:type="dxa"/>
          </w:tblCellMar>
        </w:tblPrEx>
        <w:trPr>
          <w:trHeight w:val="936" w:hRule="atLeast"/>
          <w:jc w:val="center"/>
        </w:trPr>
        <w:tc>
          <w:tcPr>
            <w:tcW w:w="4778" w:type="dxa"/>
          </w:tcPr>
          <w:p>
            <w:pPr>
              <w:ind w:firstLine="422" w:firstLineChars="200"/>
              <w:rPr>
                <w:b/>
                <w:bCs/>
              </w:rPr>
            </w:pPr>
            <w:r>
              <w:rPr>
                <w:b/>
                <w:bCs/>
              </w:rPr>
              <w:t>（签字）</w:t>
            </w:r>
          </w:p>
          <w:p>
            <w:pPr>
              <w:ind w:firstLine="422" w:firstLineChars="200"/>
              <w:rPr>
                <w:b/>
                <w:bCs/>
              </w:rPr>
            </w:pPr>
          </w:p>
          <w:p>
            <w:pPr>
              <w:ind w:firstLine="527" w:firstLineChars="250"/>
              <w:rPr>
                <w:b/>
                <w:bCs/>
              </w:rPr>
            </w:pPr>
            <w:r>
              <w:rPr>
                <w:b/>
                <w:bCs/>
              </w:rPr>
              <w:t>日期：</w:t>
            </w:r>
          </w:p>
        </w:tc>
        <w:tc>
          <w:tcPr>
            <w:tcW w:w="4861" w:type="dxa"/>
          </w:tcPr>
          <w:p>
            <w:pPr>
              <w:ind w:firstLine="211" w:firstLineChars="100"/>
              <w:rPr>
                <w:b/>
                <w:bCs/>
              </w:rPr>
            </w:pPr>
            <w:r>
              <w:rPr>
                <w:b/>
                <w:bCs/>
              </w:rPr>
              <w:t>（签字）</w:t>
            </w:r>
          </w:p>
          <w:p>
            <w:pPr>
              <w:ind w:firstLine="211" w:firstLineChars="100"/>
              <w:rPr>
                <w:b/>
                <w:bCs/>
              </w:rPr>
            </w:pPr>
          </w:p>
          <w:p>
            <w:pPr>
              <w:ind w:firstLine="211" w:firstLineChars="100"/>
              <w:rPr>
                <w:b/>
                <w:bCs/>
              </w:rPr>
            </w:pPr>
            <w:r>
              <w:rPr>
                <w:b/>
                <w:bCs/>
              </w:rPr>
              <w:t xml:space="preserve">日期： </w:t>
            </w:r>
          </w:p>
        </w:tc>
      </w:tr>
      <w:tr>
        <w:tblPrEx>
          <w:tblCellMar>
            <w:top w:w="0" w:type="dxa"/>
            <w:left w:w="108" w:type="dxa"/>
            <w:bottom w:w="0" w:type="dxa"/>
            <w:right w:w="108" w:type="dxa"/>
          </w:tblCellMar>
        </w:tblPrEx>
        <w:trPr>
          <w:trHeight w:val="936" w:hRule="atLeast"/>
          <w:jc w:val="center"/>
        </w:trPr>
        <w:tc>
          <w:tcPr>
            <w:tcW w:w="4778" w:type="dxa"/>
          </w:tcPr>
          <w:p>
            <w:pPr>
              <w:rPr>
                <w:b/>
                <w:bCs/>
              </w:rPr>
            </w:pPr>
          </w:p>
        </w:tc>
        <w:tc>
          <w:tcPr>
            <w:tcW w:w="4861" w:type="dxa"/>
          </w:tcPr>
          <w:p>
            <w:pPr>
              <w:ind w:firstLine="211" w:firstLineChars="100"/>
              <w:rPr>
                <w:b/>
                <w:bCs/>
              </w:rPr>
            </w:pPr>
          </w:p>
          <w:p>
            <w:pPr>
              <w:ind w:firstLine="211" w:firstLineChars="100"/>
              <w:rPr>
                <w:b/>
                <w:bCs/>
              </w:rPr>
            </w:pPr>
            <w:r>
              <w:rPr>
                <w:b/>
                <w:bCs/>
              </w:rPr>
              <w:t>户名：上海中豪认证有限公司</w:t>
            </w:r>
          </w:p>
        </w:tc>
      </w:tr>
      <w:tr>
        <w:tblPrEx>
          <w:tblCellMar>
            <w:top w:w="0" w:type="dxa"/>
            <w:left w:w="108" w:type="dxa"/>
            <w:bottom w:w="0" w:type="dxa"/>
            <w:right w:w="108" w:type="dxa"/>
          </w:tblCellMar>
        </w:tblPrEx>
        <w:trPr>
          <w:trHeight w:val="936" w:hRule="atLeast"/>
          <w:jc w:val="center"/>
        </w:trPr>
        <w:tc>
          <w:tcPr>
            <w:tcW w:w="4778" w:type="dxa"/>
          </w:tcPr>
          <w:p>
            <w:pPr>
              <w:rPr>
                <w:b/>
                <w:bCs/>
              </w:rPr>
            </w:pPr>
          </w:p>
        </w:tc>
        <w:tc>
          <w:tcPr>
            <w:tcW w:w="4861" w:type="dxa"/>
          </w:tcPr>
          <w:p>
            <w:pPr>
              <w:ind w:firstLine="211" w:firstLineChars="100"/>
              <w:rPr>
                <w:b/>
                <w:bCs/>
              </w:rPr>
            </w:pPr>
            <w:r>
              <w:rPr>
                <w:b/>
                <w:bCs/>
              </w:rPr>
              <w:t>开户行：上海银行股份有限公司市南分行</w:t>
            </w:r>
          </w:p>
        </w:tc>
      </w:tr>
      <w:tr>
        <w:tblPrEx>
          <w:tblCellMar>
            <w:top w:w="0" w:type="dxa"/>
            <w:left w:w="108" w:type="dxa"/>
            <w:bottom w:w="0" w:type="dxa"/>
            <w:right w:w="108" w:type="dxa"/>
          </w:tblCellMar>
        </w:tblPrEx>
        <w:trPr>
          <w:trHeight w:val="936" w:hRule="atLeast"/>
          <w:jc w:val="center"/>
        </w:trPr>
        <w:tc>
          <w:tcPr>
            <w:tcW w:w="4778" w:type="dxa"/>
          </w:tcPr>
          <w:p>
            <w:pPr>
              <w:rPr>
                <w:b/>
                <w:bCs/>
              </w:rPr>
            </w:pPr>
          </w:p>
        </w:tc>
        <w:tc>
          <w:tcPr>
            <w:tcW w:w="4861" w:type="dxa"/>
          </w:tcPr>
          <w:p>
            <w:pPr>
              <w:ind w:firstLine="211" w:firstLineChars="100"/>
              <w:rPr>
                <w:b/>
                <w:bCs/>
              </w:rPr>
            </w:pPr>
            <w:r>
              <w:rPr>
                <w:b/>
                <w:bCs/>
              </w:rPr>
              <w:t>账号：03003853534</w:t>
            </w:r>
          </w:p>
        </w:tc>
      </w:tr>
    </w:tbl>
    <w:p/>
    <w:sectPr>
      <w:headerReference r:id="rId5" w:type="first"/>
      <w:headerReference r:id="rId3" w:type="default"/>
      <w:footerReference r:id="rId6" w:type="default"/>
      <w:headerReference r:id="rId4" w:type="even"/>
      <w:pgSz w:w="11906" w:h="16838"/>
      <w:pgMar w:top="1440" w:right="1800" w:bottom="1440" w:left="1800" w:header="454"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YouYuan">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黑体" w:hAnsi="黑体" w:eastAsia="黑体"/>
      </w:rPr>
      <w:id w:val="-1545675123"/>
    </w:sdtPr>
    <w:sdtEndPr>
      <w:rPr>
        <w:rFonts w:hint="eastAsia" w:ascii="YouYuan" w:hAnsi="YouYuan" w:eastAsia="YouYuan" w:cs="YouYuan"/>
        <w:b/>
        <w:bCs/>
        <w:color w:val="205968"/>
        <w:kern w:val="0"/>
        <w:sz w:val="21"/>
        <w:szCs w:val="21"/>
        <w:lang w:val="en-US" w:eastAsia="zh-CN" w:bidi="ar-SA"/>
      </w:rPr>
    </w:sdtEndPr>
    <w:sdtContent>
      <w:p>
        <w:pPr>
          <w:pStyle w:val="13"/>
          <w:keepNext w:val="0"/>
          <w:keepLines w:val="0"/>
          <w:pageBreakBefore w:val="0"/>
          <w:widowControl/>
          <w:pBdr>
            <w:top w:val="thinThickSmallGap" w:color="622423" w:sz="24" w:space="1"/>
          </w:pBdr>
          <w:tabs>
            <w:tab w:val="right" w:pos="14154"/>
            <w:tab w:val="clear" w:pos="4153"/>
            <w:tab w:val="clear" w:pos="8306"/>
          </w:tabs>
          <w:kinsoku/>
          <w:wordWrap/>
          <w:overflowPunct/>
          <w:topLinePunct w:val="0"/>
          <w:autoSpaceDE/>
          <w:autoSpaceDN/>
          <w:bidi w:val="0"/>
          <w:adjustRightInd/>
          <w:snapToGrid w:val="0"/>
          <w:spacing w:after="0" w:line="240" w:lineRule="auto"/>
          <w:ind w:left="0" w:leftChars="0" w:right="0" w:rightChars="0" w:firstLine="0" w:firstLineChars="0"/>
          <w:jc w:val="left"/>
          <w:textAlignment w:val="auto"/>
          <w:outlineLvl w:val="9"/>
          <w:rPr>
            <w:rFonts w:hint="default" w:ascii="幼圆" w:hAnsi="幼圆" w:eastAsia="幼圆" w:cs="幼圆"/>
            <w:b/>
            <w:bCs/>
            <w:sz w:val="21"/>
            <w:szCs w:val="21"/>
            <w:lang w:val="en-US" w:eastAsia="zh-CN"/>
          </w:rPr>
        </w:pPr>
        <w:r>
          <w:rPr>
            <w:rFonts w:hint="eastAsia" w:ascii="幼圆" w:hAnsi="幼圆" w:eastAsia="幼圆" w:cs="幼圆"/>
            <w:b/>
            <w:bCs/>
            <w:color w:val="205968"/>
            <w:kern w:val="0"/>
            <w:sz w:val="21"/>
            <w:szCs w:val="21"/>
            <w:lang w:val="en-US" w:eastAsia="zh-CN" w:bidi="ar-SA"/>
          </w:rPr>
          <mc:AlternateContent>
            <mc:Choice Requires="wps">
              <w:drawing>
                <wp:anchor distT="0" distB="0" distL="114300" distR="114300" simplePos="0" relativeHeight="251662336" behindDoc="0" locked="0" layoutInCell="1" allowOverlap="1">
                  <wp:simplePos x="0" y="0"/>
                  <wp:positionH relativeFrom="margin">
                    <wp:posOffset>5467350</wp:posOffset>
                  </wp:positionH>
                  <wp:positionV relativeFrom="paragraph">
                    <wp:posOffset>10160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30.5pt;margin-top:0.8pt;height:144pt;width:144pt;mso-position-horizontal-relative:margin;mso-wrap-style:none;z-index:251662336;mso-width-relative:page;mso-height-relative:page;" filled="f" stroked="f" coordsize="21600,21600" o:gfxdata="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EdVwNkAAAAKAQAADwAAAAAAAAAB&#10;ACAAAAAiAAAAZHJzL2Rvd25yZXYueG1sUEsBAhQAFAAAAAgAh07iQKHk7unWAQAAswMAAA4AAAAA&#10;AAAAAQAgAAAAKAEAAGRycy9lMm9Eb2MueG1sUEsFBgAAAAAGAAYAWQEAAHAFAAAAAA==&#10;">
                  <v:path/>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rFonts w:hint="eastAsia" w:ascii="幼圆" w:hAnsi="幼圆" w:eastAsia="幼圆" w:cs="幼圆"/>
            <w:b/>
            <w:bCs/>
            <w:color w:val="205968"/>
            <w:kern w:val="0"/>
            <w:sz w:val="21"/>
            <w:szCs w:val="21"/>
            <w:lang w:val="en-US" w:eastAsia="zh-CN" w:bidi="ar-SA"/>
          </w:rPr>
          <w:t>中正以卓越·精一以光豪</w:t>
        </w:r>
      </w:p>
      <w:p>
        <w:pPr>
          <w:pStyle w:val="13"/>
          <w:ind w:right="360"/>
          <w:rPr>
            <w:rFonts w:hint="eastAsia" w:ascii="YouYuan" w:hAnsi="YouYuan" w:eastAsia="YouYuan" w:cs="YouYuan"/>
            <w:b/>
            <w:bCs/>
            <w:color w:val="205968"/>
            <w:kern w:val="0"/>
            <w:sz w:val="21"/>
            <w:szCs w:val="21"/>
            <w:lang w:val="en-US" w:eastAsia="zh-CN" w:bidi="ar-SA"/>
          </w:rP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ThinSmallGap" w:color="800000" w:sz="18" w:space="1"/>
      </w:pBdr>
      <w:jc w:val="left"/>
      <w:rPr>
        <w:rFonts w:hint="eastAsia"/>
      </w:rPr>
    </w:pPr>
    <w:r>
      <w:rPr>
        <w:rFonts w:ascii="黑体" w:hAnsi="黑体" w:eastAsia="黑体"/>
      </w:rPr>
      <w:pict>
        <v:shape id="_x0000_s1027" o:spid="_x0000_s1027" o:spt="75" type="#_x0000_t75" style="position:absolute;left:0pt;height:53.05pt;width:414.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黑色"/>
          <o:lock v:ext="edit" aspectratio="t"/>
        </v:shape>
      </w:pict>
    </w:r>
    <w:r>
      <w:rPr>
        <w:rFonts w:hint="eastAsia" w:ascii="黑体" w:hAnsi="黑体" w:eastAsia="黑体"/>
      </w:rPr>
      <w:t xml:space="preserve"> </w:t>
    </w:r>
    <w:r>
      <w:drawing>
        <wp:inline distT="0" distB="0" distL="114300" distR="114300">
          <wp:extent cx="1119505" cy="143510"/>
          <wp:effectExtent l="0" t="0" r="444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
                  <a:stretch>
                    <a:fillRect/>
                  </a:stretch>
                </pic:blipFill>
                <pic:spPr>
                  <a:xfrm>
                    <a:off x="0" y="0"/>
                    <a:ext cx="1119505" cy="143510"/>
                  </a:xfrm>
                  <a:prstGeom prst="rect">
                    <a:avLst/>
                  </a:prstGeom>
                  <a:noFill/>
                  <a:ln>
                    <a:noFill/>
                  </a:ln>
                </pic:spPr>
              </pic:pic>
            </a:graphicData>
          </a:graphic>
        </wp:inline>
      </w:drawing>
    </w:r>
    <w:r>
      <w:rPr>
        <w:rFonts w:hint="eastAsia"/>
        <w:lang w:val="en-US" w:eastAsia="zh-CN"/>
      </w:rPr>
      <w:t xml:space="preserve">                                                              </w:t>
    </w:r>
    <w:r>
      <w:rPr>
        <w:rFonts w:hint="eastAsia" w:ascii="YouYuan" w:hAnsi="YouYuan" w:eastAsia="YouYuan" w:cs="YouYuan"/>
        <w:b/>
        <w:bCs/>
        <w:color w:val="205968"/>
        <w:kern w:val="0"/>
        <w:sz w:val="21"/>
        <w:szCs w:val="21"/>
        <w:lang w:val="en-US" w:eastAsia="zh-CN" w:bidi="ar-SA"/>
      </w:rPr>
      <w:t>中豪认证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75" type="#_x0000_t75" style="position:absolute;left:0pt;height:53.05pt;width:414.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黑色"/>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WordPictureWatermark" o:spid="_x0000_s1025" o:spt="75" type="#_x0000_t75" style="position:absolute;left:0pt;height:53.05pt;width:414.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黑色"/>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0"/>
      <w:numFmt w:val="decimal"/>
      <w:pStyle w:val="3"/>
      <w:lvlText w:val="%1"/>
      <w:lvlJc w:val="left"/>
      <w:rPr>
        <w:rFonts w:hint="eastAsia" w:ascii="宋体" w:eastAsia="宋体"/>
      </w:rPr>
    </w:lvl>
    <w:lvl w:ilvl="1" w:tentative="0">
      <w:start w:val="0"/>
      <w:numFmt w:val="decimal"/>
      <w:pStyle w:val="2"/>
      <w:lvlText w:val="%2"/>
      <w:lvlJc w:val="left"/>
      <w:rPr>
        <w:rFonts w:hint="default" w:ascii="Times New Roman" w:hAnsi="Times New Roman"/>
      </w:rPr>
    </w:lvl>
    <w:lvl w:ilvl="2" w:tentative="0">
      <w:start w:val="0"/>
      <w:numFmt w:val="decimal"/>
      <w:pStyle w:val="4"/>
      <w:lvlText w:val="%3"/>
      <w:lvlJc w:val="left"/>
      <w:rPr>
        <w:rFonts w:hint="default" w:ascii="Times New Roman" w:hAnsi="Times New Roman"/>
      </w:rPr>
    </w:lvl>
    <w:lvl w:ilvl="3" w:tentative="0">
      <w:start w:val="0"/>
      <w:numFmt w:val="decimal"/>
      <w:pStyle w:val="5"/>
      <w:lvlText w:val="%4"/>
      <w:lvlJc w:val="left"/>
      <w:rPr>
        <w:rFonts w:hint="default" w:ascii="Times New Roman" w:hAnsi="Times New Roman"/>
      </w:rPr>
    </w:lvl>
    <w:lvl w:ilvl="4" w:tentative="0">
      <w:start w:val="0"/>
      <w:numFmt w:val="decimal"/>
      <w:pStyle w:val="6"/>
      <w:lvlText w:val="%5"/>
      <w:lvlJc w:val="left"/>
      <w:rPr>
        <w:rFonts w:hint="default" w:ascii="Times New Roman" w:hAnsi="Times New Roman"/>
      </w:rPr>
    </w:lvl>
    <w:lvl w:ilvl="5" w:tentative="0">
      <w:start w:val="0"/>
      <w:numFmt w:val="decimal"/>
      <w:pStyle w:val="7"/>
      <w:lvlText w:val="%6"/>
      <w:lvlJc w:val="left"/>
      <w:rPr>
        <w:rFonts w:hint="default" w:ascii="Times New Roman" w:hAnsi="Times New Roman"/>
      </w:rPr>
    </w:lvl>
    <w:lvl w:ilvl="6" w:tentative="0">
      <w:start w:val="0"/>
      <w:numFmt w:val="decimal"/>
      <w:pStyle w:val="8"/>
      <w:lvlText w:val="%7"/>
      <w:lvlJc w:val="left"/>
      <w:rPr>
        <w:rFonts w:hint="default" w:ascii="Times New Roman" w:hAnsi="Times New Roman"/>
      </w:rPr>
    </w:lvl>
    <w:lvl w:ilvl="7" w:tentative="0">
      <w:start w:val="0"/>
      <w:numFmt w:val="decimal"/>
      <w:pStyle w:val="9"/>
      <w:lvlText w:val="%8"/>
      <w:lvlJc w:val="left"/>
      <w:rPr>
        <w:rFonts w:hint="default" w:ascii="Times New Roman" w:hAnsi="Times New Roman"/>
      </w:rPr>
    </w:lvl>
    <w:lvl w:ilvl="8" w:tentative="0">
      <w:start w:val="0"/>
      <w:numFmt w:val="decimal"/>
      <w:pStyle w:val="10"/>
      <w:lvlText w:val="%9"/>
      <w:lvlJc w:val="left"/>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4ZmNjYWM1NjFhYzQ5ZDZiMWU4MDkxYjQ1MGJjODYifQ=="/>
  </w:docVars>
  <w:rsids>
    <w:rsidRoot w:val="003B153B"/>
    <w:rsid w:val="000167E6"/>
    <w:rsid w:val="00016CAE"/>
    <w:rsid w:val="000856A8"/>
    <w:rsid w:val="000A0003"/>
    <w:rsid w:val="000B4D69"/>
    <w:rsid w:val="000B6BA6"/>
    <w:rsid w:val="000D2118"/>
    <w:rsid w:val="00104886"/>
    <w:rsid w:val="00111814"/>
    <w:rsid w:val="00114511"/>
    <w:rsid w:val="00142837"/>
    <w:rsid w:val="00151588"/>
    <w:rsid w:val="00161F02"/>
    <w:rsid w:val="001C0E0D"/>
    <w:rsid w:val="001C24B7"/>
    <w:rsid w:val="001F662E"/>
    <w:rsid w:val="00207697"/>
    <w:rsid w:val="002208DA"/>
    <w:rsid w:val="00243A09"/>
    <w:rsid w:val="00276183"/>
    <w:rsid w:val="00282E96"/>
    <w:rsid w:val="00284635"/>
    <w:rsid w:val="002A6107"/>
    <w:rsid w:val="002C4250"/>
    <w:rsid w:val="002C4E3B"/>
    <w:rsid w:val="002D4539"/>
    <w:rsid w:val="002D6047"/>
    <w:rsid w:val="00323E2F"/>
    <w:rsid w:val="00345100"/>
    <w:rsid w:val="00373409"/>
    <w:rsid w:val="00381049"/>
    <w:rsid w:val="0038671E"/>
    <w:rsid w:val="003B153B"/>
    <w:rsid w:val="003B3C6D"/>
    <w:rsid w:val="003B4050"/>
    <w:rsid w:val="003B5A72"/>
    <w:rsid w:val="003C0628"/>
    <w:rsid w:val="003C1150"/>
    <w:rsid w:val="003D194A"/>
    <w:rsid w:val="003D1D58"/>
    <w:rsid w:val="003F114B"/>
    <w:rsid w:val="00470B0F"/>
    <w:rsid w:val="004A7D7F"/>
    <w:rsid w:val="004B3F0F"/>
    <w:rsid w:val="004B7CD7"/>
    <w:rsid w:val="004E7C1B"/>
    <w:rsid w:val="00531851"/>
    <w:rsid w:val="00565D0E"/>
    <w:rsid w:val="005779FF"/>
    <w:rsid w:val="005862EE"/>
    <w:rsid w:val="005973F3"/>
    <w:rsid w:val="005A1866"/>
    <w:rsid w:val="005D4DE4"/>
    <w:rsid w:val="005D70AF"/>
    <w:rsid w:val="006040B8"/>
    <w:rsid w:val="00622115"/>
    <w:rsid w:val="00637318"/>
    <w:rsid w:val="006654AE"/>
    <w:rsid w:val="006705BF"/>
    <w:rsid w:val="006B25AB"/>
    <w:rsid w:val="006E4D46"/>
    <w:rsid w:val="00704C4A"/>
    <w:rsid w:val="00712D4C"/>
    <w:rsid w:val="00715157"/>
    <w:rsid w:val="00791025"/>
    <w:rsid w:val="007B0A18"/>
    <w:rsid w:val="007F1DC1"/>
    <w:rsid w:val="008078EB"/>
    <w:rsid w:val="008708CD"/>
    <w:rsid w:val="0087477E"/>
    <w:rsid w:val="008973CA"/>
    <w:rsid w:val="008A3D34"/>
    <w:rsid w:val="008C52AE"/>
    <w:rsid w:val="008D29D2"/>
    <w:rsid w:val="008D6BDD"/>
    <w:rsid w:val="008F4456"/>
    <w:rsid w:val="00904DB6"/>
    <w:rsid w:val="00912D85"/>
    <w:rsid w:val="00946B8C"/>
    <w:rsid w:val="0098396B"/>
    <w:rsid w:val="00984ECF"/>
    <w:rsid w:val="009A44FD"/>
    <w:rsid w:val="009B2700"/>
    <w:rsid w:val="009C613A"/>
    <w:rsid w:val="009D4DFA"/>
    <w:rsid w:val="009D7240"/>
    <w:rsid w:val="00A03FA8"/>
    <w:rsid w:val="00A05E3F"/>
    <w:rsid w:val="00A179BC"/>
    <w:rsid w:val="00A2119D"/>
    <w:rsid w:val="00A50E3F"/>
    <w:rsid w:val="00A82226"/>
    <w:rsid w:val="00AA2427"/>
    <w:rsid w:val="00AB41BE"/>
    <w:rsid w:val="00AE3C34"/>
    <w:rsid w:val="00AF5342"/>
    <w:rsid w:val="00B0185A"/>
    <w:rsid w:val="00B02858"/>
    <w:rsid w:val="00B04659"/>
    <w:rsid w:val="00B1500A"/>
    <w:rsid w:val="00B2339A"/>
    <w:rsid w:val="00B2703A"/>
    <w:rsid w:val="00B27B75"/>
    <w:rsid w:val="00B50089"/>
    <w:rsid w:val="00B6036F"/>
    <w:rsid w:val="00B72EBB"/>
    <w:rsid w:val="00B72FD6"/>
    <w:rsid w:val="00B8429A"/>
    <w:rsid w:val="00BE310E"/>
    <w:rsid w:val="00C5235E"/>
    <w:rsid w:val="00C75596"/>
    <w:rsid w:val="00CE7425"/>
    <w:rsid w:val="00CF692C"/>
    <w:rsid w:val="00D012CF"/>
    <w:rsid w:val="00D024EE"/>
    <w:rsid w:val="00D06FB4"/>
    <w:rsid w:val="00D232FE"/>
    <w:rsid w:val="00D24EB0"/>
    <w:rsid w:val="00D26321"/>
    <w:rsid w:val="00D4315F"/>
    <w:rsid w:val="00D53A15"/>
    <w:rsid w:val="00D76DEE"/>
    <w:rsid w:val="00D77149"/>
    <w:rsid w:val="00DA1420"/>
    <w:rsid w:val="00DB6C50"/>
    <w:rsid w:val="00DC177E"/>
    <w:rsid w:val="00DC71A6"/>
    <w:rsid w:val="00DD33C9"/>
    <w:rsid w:val="00DD7180"/>
    <w:rsid w:val="00DE5EE5"/>
    <w:rsid w:val="00DF3092"/>
    <w:rsid w:val="00E05485"/>
    <w:rsid w:val="00E14C67"/>
    <w:rsid w:val="00E318FC"/>
    <w:rsid w:val="00E35BD0"/>
    <w:rsid w:val="00E41E2F"/>
    <w:rsid w:val="00E94F19"/>
    <w:rsid w:val="00E95D27"/>
    <w:rsid w:val="00ED0C33"/>
    <w:rsid w:val="00ED304F"/>
    <w:rsid w:val="00EE0B52"/>
    <w:rsid w:val="00EE3856"/>
    <w:rsid w:val="00F23419"/>
    <w:rsid w:val="00F41EC4"/>
    <w:rsid w:val="00F57C62"/>
    <w:rsid w:val="00F60BE5"/>
    <w:rsid w:val="00FA13A9"/>
    <w:rsid w:val="00FC7582"/>
    <w:rsid w:val="00FD26A1"/>
    <w:rsid w:val="097C4141"/>
    <w:rsid w:val="0C672C01"/>
    <w:rsid w:val="0F292DD0"/>
    <w:rsid w:val="11B771DF"/>
    <w:rsid w:val="229673A4"/>
    <w:rsid w:val="281A2442"/>
    <w:rsid w:val="3C742F4A"/>
    <w:rsid w:val="45940C47"/>
    <w:rsid w:val="58EF53B0"/>
    <w:rsid w:val="72D350F2"/>
    <w:rsid w:val="74A92D67"/>
    <w:rsid w:val="7D55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2"/>
    <w:qFormat/>
    <w:uiPriority w:val="0"/>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2">
    <w:name w:val="heading 2"/>
    <w:basedOn w:val="1"/>
    <w:next w:val="1"/>
    <w:link w:val="23"/>
    <w:qFormat/>
    <w:uiPriority w:val="0"/>
    <w:pPr>
      <w:keepNext/>
      <w:keepLines/>
      <w:numPr>
        <w:ilvl w:val="1"/>
        <w:numId w:val="1"/>
      </w:numPr>
      <w:adjustRightInd w:val="0"/>
      <w:spacing w:before="260" w:after="260" w:line="416" w:lineRule="atLeast"/>
      <w:textAlignment w:val="baseline"/>
      <w:outlineLvl w:val="1"/>
    </w:pPr>
    <w:rPr>
      <w:rFonts w:ascii="Cambria" w:hAnsi="Cambria" w:cs="Cambria"/>
      <w:b/>
      <w:bCs/>
      <w:sz w:val="32"/>
      <w:szCs w:val="32"/>
    </w:rPr>
  </w:style>
  <w:style w:type="paragraph" w:styleId="4">
    <w:name w:val="heading 3"/>
    <w:basedOn w:val="1"/>
    <w:next w:val="1"/>
    <w:link w:val="24"/>
    <w:qFormat/>
    <w:uiPriority w:val="0"/>
    <w:pPr>
      <w:keepNext/>
      <w:keepLines/>
      <w:numPr>
        <w:ilvl w:val="2"/>
        <w:numId w:val="1"/>
      </w:numPr>
      <w:adjustRightInd w:val="0"/>
      <w:spacing w:before="260" w:after="260" w:line="416" w:lineRule="atLeast"/>
      <w:textAlignment w:val="baseline"/>
      <w:outlineLvl w:val="2"/>
    </w:pPr>
    <w:rPr>
      <w:b/>
      <w:bCs/>
      <w:sz w:val="32"/>
      <w:szCs w:val="32"/>
    </w:rPr>
  </w:style>
  <w:style w:type="paragraph" w:styleId="5">
    <w:name w:val="heading 4"/>
    <w:basedOn w:val="1"/>
    <w:next w:val="1"/>
    <w:link w:val="25"/>
    <w:qFormat/>
    <w:uiPriority w:val="0"/>
    <w:pPr>
      <w:keepNext/>
      <w:keepLines/>
      <w:numPr>
        <w:ilvl w:val="3"/>
        <w:numId w:val="1"/>
      </w:numPr>
      <w:adjustRightInd w:val="0"/>
      <w:spacing w:before="280" w:after="290" w:line="376" w:lineRule="atLeast"/>
      <w:textAlignment w:val="baseline"/>
      <w:outlineLvl w:val="3"/>
    </w:pPr>
    <w:rPr>
      <w:rFonts w:ascii="Cambria" w:hAnsi="Cambria" w:cs="Cambria"/>
      <w:b/>
      <w:bCs/>
      <w:sz w:val="28"/>
      <w:szCs w:val="28"/>
    </w:rPr>
  </w:style>
  <w:style w:type="paragraph" w:styleId="6">
    <w:name w:val="heading 5"/>
    <w:basedOn w:val="1"/>
    <w:next w:val="1"/>
    <w:link w:val="26"/>
    <w:qFormat/>
    <w:uiPriority w:val="0"/>
    <w:pPr>
      <w:keepNext/>
      <w:keepLines/>
      <w:numPr>
        <w:ilvl w:val="4"/>
        <w:numId w:val="1"/>
      </w:numPr>
      <w:adjustRightInd w:val="0"/>
      <w:spacing w:before="280" w:after="290" w:line="376" w:lineRule="atLeast"/>
      <w:textAlignment w:val="baseline"/>
      <w:outlineLvl w:val="4"/>
    </w:pPr>
    <w:rPr>
      <w:b/>
      <w:bCs/>
      <w:sz w:val="28"/>
      <w:szCs w:val="28"/>
    </w:rPr>
  </w:style>
  <w:style w:type="paragraph" w:styleId="7">
    <w:name w:val="heading 6"/>
    <w:basedOn w:val="1"/>
    <w:next w:val="1"/>
    <w:link w:val="27"/>
    <w:qFormat/>
    <w:uiPriority w:val="0"/>
    <w:pPr>
      <w:keepNext/>
      <w:keepLines/>
      <w:numPr>
        <w:ilvl w:val="5"/>
        <w:numId w:val="1"/>
      </w:numPr>
      <w:adjustRightInd w:val="0"/>
      <w:spacing w:before="240" w:after="64" w:line="320" w:lineRule="atLeast"/>
      <w:textAlignment w:val="baseline"/>
      <w:outlineLvl w:val="5"/>
    </w:pPr>
    <w:rPr>
      <w:rFonts w:ascii="Cambria" w:hAnsi="Cambria" w:cs="Cambria"/>
      <w:b/>
      <w:bCs/>
      <w:sz w:val="24"/>
      <w:szCs w:val="24"/>
    </w:rPr>
  </w:style>
  <w:style w:type="paragraph" w:styleId="8">
    <w:name w:val="heading 7"/>
    <w:basedOn w:val="1"/>
    <w:next w:val="1"/>
    <w:link w:val="28"/>
    <w:qFormat/>
    <w:uiPriority w:val="0"/>
    <w:pPr>
      <w:keepNext/>
      <w:keepLines/>
      <w:numPr>
        <w:ilvl w:val="6"/>
        <w:numId w:val="1"/>
      </w:numPr>
      <w:adjustRightInd w:val="0"/>
      <w:spacing w:before="240" w:after="64" w:line="320" w:lineRule="atLeast"/>
      <w:textAlignment w:val="baseline"/>
      <w:outlineLvl w:val="6"/>
    </w:pPr>
    <w:rPr>
      <w:b/>
      <w:bCs/>
      <w:sz w:val="24"/>
      <w:szCs w:val="24"/>
    </w:rPr>
  </w:style>
  <w:style w:type="paragraph" w:styleId="9">
    <w:name w:val="heading 8"/>
    <w:basedOn w:val="1"/>
    <w:next w:val="1"/>
    <w:link w:val="29"/>
    <w:qFormat/>
    <w:uiPriority w:val="0"/>
    <w:pPr>
      <w:keepNext/>
      <w:keepLines/>
      <w:numPr>
        <w:ilvl w:val="7"/>
        <w:numId w:val="1"/>
      </w:numPr>
      <w:adjustRightInd w:val="0"/>
      <w:spacing w:before="240" w:after="64" w:line="320" w:lineRule="atLeast"/>
      <w:textAlignment w:val="baseline"/>
      <w:outlineLvl w:val="7"/>
    </w:pPr>
    <w:rPr>
      <w:rFonts w:ascii="Cambria" w:hAnsi="Cambria" w:cs="Cambria"/>
      <w:sz w:val="24"/>
      <w:szCs w:val="24"/>
    </w:rPr>
  </w:style>
  <w:style w:type="paragraph" w:styleId="10">
    <w:name w:val="heading 9"/>
    <w:basedOn w:val="1"/>
    <w:next w:val="1"/>
    <w:link w:val="30"/>
    <w:qFormat/>
    <w:uiPriority w:val="0"/>
    <w:pPr>
      <w:keepNext/>
      <w:keepLines/>
      <w:numPr>
        <w:ilvl w:val="8"/>
        <w:numId w:val="1"/>
      </w:numPr>
      <w:adjustRightInd w:val="0"/>
      <w:spacing w:before="240" w:after="64" w:line="320" w:lineRule="atLeast"/>
      <w:textAlignment w:val="baseline"/>
      <w:outlineLvl w:val="8"/>
    </w:pPr>
    <w:rPr>
      <w:rFonts w:ascii="Cambria" w:hAnsi="Cambria" w:cs="Cambri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qFormat/>
    <w:uiPriority w:val="99"/>
    <w:pPr>
      <w:jc w:val="left"/>
    </w:pPr>
  </w:style>
  <w:style w:type="paragraph" w:styleId="12">
    <w:name w:val="Body Text Indent 2"/>
    <w:basedOn w:val="1"/>
    <w:link w:val="34"/>
    <w:qFormat/>
    <w:uiPriority w:val="0"/>
    <w:pPr>
      <w:spacing w:line="340" w:lineRule="exact"/>
      <w:ind w:firstLine="480" w:firstLineChars="200"/>
    </w:pPr>
    <w:rPr>
      <w:rFonts w:ascii="仿宋_GB2312" w:eastAsia="仿宋_GB2312"/>
      <w:sz w:val="24"/>
      <w:szCs w:val="24"/>
    </w:rPr>
  </w:style>
  <w:style w:type="paragraph" w:styleId="13">
    <w:name w:val="footer"/>
    <w:basedOn w:val="1"/>
    <w:link w:val="21"/>
    <w:unhideWhenUsed/>
    <w:qFormat/>
    <w:uiPriority w:val="99"/>
    <w:pPr>
      <w:tabs>
        <w:tab w:val="center" w:pos="4153"/>
        <w:tab w:val="right" w:pos="8306"/>
      </w:tabs>
      <w:snapToGrid w:val="0"/>
      <w:jc w:val="left"/>
    </w:pPr>
    <w:rPr>
      <w:sz w:val="18"/>
      <w:szCs w:val="18"/>
    </w:rPr>
  </w:style>
  <w:style w:type="paragraph" w:styleId="14">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character" w:styleId="17">
    <w:name w:val="Emphasis"/>
    <w:basedOn w:val="16"/>
    <w:qFormat/>
    <w:uiPriority w:val="20"/>
    <w:rPr>
      <w:i/>
      <w:iCs/>
    </w:rPr>
  </w:style>
  <w:style w:type="character" w:styleId="18">
    <w:name w:val="Hyperlink"/>
    <w:qFormat/>
    <w:uiPriority w:val="0"/>
    <w:rPr>
      <w:color w:val="0000FF"/>
      <w:u w:val="single"/>
    </w:rPr>
  </w:style>
  <w:style w:type="character" w:styleId="19">
    <w:name w:val="annotation reference"/>
    <w:basedOn w:val="16"/>
    <w:semiHidden/>
    <w:unhideWhenUsed/>
    <w:qFormat/>
    <w:uiPriority w:val="99"/>
    <w:rPr>
      <w:sz w:val="21"/>
      <w:szCs w:val="21"/>
    </w:rPr>
  </w:style>
  <w:style w:type="character" w:customStyle="1" w:styleId="20">
    <w:name w:val="页眉 字符"/>
    <w:basedOn w:val="16"/>
    <w:link w:val="14"/>
    <w:qFormat/>
    <w:uiPriority w:val="99"/>
    <w:rPr>
      <w:sz w:val="18"/>
      <w:szCs w:val="18"/>
    </w:rPr>
  </w:style>
  <w:style w:type="character" w:customStyle="1" w:styleId="21">
    <w:name w:val="页脚 字符"/>
    <w:basedOn w:val="16"/>
    <w:link w:val="13"/>
    <w:qFormat/>
    <w:uiPriority w:val="99"/>
    <w:rPr>
      <w:sz w:val="18"/>
      <w:szCs w:val="18"/>
    </w:rPr>
  </w:style>
  <w:style w:type="character" w:customStyle="1" w:styleId="22">
    <w:name w:val="标题 1 字符"/>
    <w:basedOn w:val="16"/>
    <w:link w:val="3"/>
    <w:qFormat/>
    <w:uiPriority w:val="0"/>
    <w:rPr>
      <w:rFonts w:ascii="Times New Roman" w:hAnsi="Times New Roman" w:eastAsia="宋体" w:cs="Times New Roman"/>
      <w:b/>
      <w:bCs/>
      <w:kern w:val="44"/>
      <w:sz w:val="44"/>
      <w:szCs w:val="44"/>
    </w:rPr>
  </w:style>
  <w:style w:type="character" w:customStyle="1" w:styleId="23">
    <w:name w:val="标题 2 字符"/>
    <w:basedOn w:val="16"/>
    <w:link w:val="2"/>
    <w:qFormat/>
    <w:uiPriority w:val="0"/>
    <w:rPr>
      <w:rFonts w:ascii="Cambria" w:hAnsi="Cambria" w:eastAsia="宋体" w:cs="Cambria"/>
      <w:b/>
      <w:bCs/>
      <w:sz w:val="32"/>
      <w:szCs w:val="32"/>
    </w:rPr>
  </w:style>
  <w:style w:type="character" w:customStyle="1" w:styleId="24">
    <w:name w:val="标题 3 字符"/>
    <w:basedOn w:val="16"/>
    <w:link w:val="4"/>
    <w:qFormat/>
    <w:uiPriority w:val="0"/>
    <w:rPr>
      <w:rFonts w:ascii="Times New Roman" w:hAnsi="Times New Roman" w:eastAsia="宋体" w:cs="Times New Roman"/>
      <w:b/>
      <w:bCs/>
      <w:sz w:val="32"/>
      <w:szCs w:val="32"/>
    </w:rPr>
  </w:style>
  <w:style w:type="character" w:customStyle="1" w:styleId="25">
    <w:name w:val="标题 4 字符"/>
    <w:basedOn w:val="16"/>
    <w:link w:val="5"/>
    <w:qFormat/>
    <w:uiPriority w:val="0"/>
    <w:rPr>
      <w:rFonts w:ascii="Cambria" w:hAnsi="Cambria" w:eastAsia="宋体" w:cs="Cambria"/>
      <w:b/>
      <w:bCs/>
      <w:sz w:val="28"/>
      <w:szCs w:val="28"/>
    </w:rPr>
  </w:style>
  <w:style w:type="character" w:customStyle="1" w:styleId="26">
    <w:name w:val="标题 5 字符"/>
    <w:basedOn w:val="16"/>
    <w:link w:val="6"/>
    <w:qFormat/>
    <w:uiPriority w:val="0"/>
    <w:rPr>
      <w:rFonts w:ascii="Times New Roman" w:hAnsi="Times New Roman" w:eastAsia="宋体" w:cs="Times New Roman"/>
      <w:b/>
      <w:bCs/>
      <w:sz w:val="28"/>
      <w:szCs w:val="28"/>
    </w:rPr>
  </w:style>
  <w:style w:type="character" w:customStyle="1" w:styleId="27">
    <w:name w:val="标题 6 字符"/>
    <w:basedOn w:val="16"/>
    <w:link w:val="7"/>
    <w:qFormat/>
    <w:uiPriority w:val="0"/>
    <w:rPr>
      <w:rFonts w:ascii="Cambria" w:hAnsi="Cambria" w:eastAsia="宋体" w:cs="Cambria"/>
      <w:b/>
      <w:bCs/>
      <w:sz w:val="24"/>
      <w:szCs w:val="24"/>
    </w:rPr>
  </w:style>
  <w:style w:type="character" w:customStyle="1" w:styleId="28">
    <w:name w:val="标题 7 字符"/>
    <w:basedOn w:val="16"/>
    <w:link w:val="8"/>
    <w:qFormat/>
    <w:uiPriority w:val="0"/>
    <w:rPr>
      <w:rFonts w:ascii="Times New Roman" w:hAnsi="Times New Roman" w:eastAsia="宋体" w:cs="Times New Roman"/>
      <w:b/>
      <w:bCs/>
      <w:sz w:val="24"/>
      <w:szCs w:val="24"/>
    </w:rPr>
  </w:style>
  <w:style w:type="character" w:customStyle="1" w:styleId="29">
    <w:name w:val="标题 8 字符"/>
    <w:basedOn w:val="16"/>
    <w:link w:val="9"/>
    <w:qFormat/>
    <w:uiPriority w:val="0"/>
    <w:rPr>
      <w:rFonts w:ascii="Cambria" w:hAnsi="Cambria" w:eastAsia="宋体" w:cs="Cambria"/>
      <w:sz w:val="24"/>
      <w:szCs w:val="24"/>
    </w:rPr>
  </w:style>
  <w:style w:type="character" w:customStyle="1" w:styleId="30">
    <w:name w:val="标题 9 字符"/>
    <w:basedOn w:val="16"/>
    <w:link w:val="10"/>
    <w:qFormat/>
    <w:uiPriority w:val="0"/>
    <w:rPr>
      <w:rFonts w:ascii="Cambria" w:hAnsi="Cambria" w:eastAsia="宋体" w:cs="Cambria"/>
      <w:szCs w:val="21"/>
    </w:rPr>
  </w:style>
  <w:style w:type="character" w:customStyle="1" w:styleId="31">
    <w:name w:val="正文文本缩进 Char"/>
    <w:link w:val="32"/>
    <w:qFormat/>
    <w:uiPriority w:val="0"/>
    <w:rPr>
      <w:szCs w:val="21"/>
    </w:rPr>
  </w:style>
  <w:style w:type="paragraph" w:customStyle="1" w:styleId="32">
    <w:name w:val="正文文本缩进1"/>
    <w:basedOn w:val="1"/>
    <w:link w:val="31"/>
    <w:qFormat/>
    <w:uiPriority w:val="0"/>
    <w:pPr>
      <w:ind w:left="-141"/>
    </w:pPr>
    <w:rPr>
      <w:rFonts w:asciiTheme="minorHAnsi" w:hAnsiTheme="minorHAnsi" w:eastAsiaTheme="minorEastAsia" w:cstheme="minorBidi"/>
    </w:rPr>
  </w:style>
  <w:style w:type="paragraph" w:customStyle="1" w:styleId="33">
    <w:name w:val="p0"/>
    <w:basedOn w:val="1"/>
    <w:qFormat/>
    <w:uiPriority w:val="0"/>
    <w:pPr>
      <w:widowControl/>
    </w:pPr>
    <w:rPr>
      <w:kern w:val="0"/>
    </w:rPr>
  </w:style>
  <w:style w:type="character" w:customStyle="1" w:styleId="34">
    <w:name w:val="正文文本缩进 2 字符"/>
    <w:basedOn w:val="16"/>
    <w:link w:val="12"/>
    <w:qFormat/>
    <w:uiPriority w:val="0"/>
    <w:rPr>
      <w:rFonts w:ascii="仿宋_GB2312" w:hAnsi="Times New Roman" w:eastAsia="仿宋_GB2312" w:cs="Times New Roman"/>
      <w:sz w:val="24"/>
      <w:szCs w:val="24"/>
    </w:rPr>
  </w:style>
  <w:style w:type="paragraph" w:styleId="35">
    <w:name w:val="List Paragraph"/>
    <w:basedOn w:val="1"/>
    <w:qFormat/>
    <w:uiPriority w:val="34"/>
    <w:pPr>
      <w:ind w:firstLine="420" w:firstLineChars="200"/>
    </w:pPr>
  </w:style>
  <w:style w:type="paragraph" w:customStyle="1" w:styleId="36">
    <w:name w:val="列表段落1"/>
    <w:basedOn w:val="1"/>
    <w:qFormat/>
    <w:locked/>
    <w:uiPriority w:val="34"/>
    <w:pPr>
      <w:ind w:firstLine="420" w:firstLineChars="200"/>
    </w:pPr>
    <w:rPr>
      <w:rFonts w:asciiTheme="minorHAnsi" w:hAnsiTheme="minorHAnsi" w:eastAsiaTheme="minorEastAsia" w:cstheme="minorBidi"/>
      <w:szCs w:val="22"/>
    </w:rPr>
  </w:style>
  <w:style w:type="paragraph" w:customStyle="1" w:styleId="37">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6A75EE-ABD8-4E32-AA28-27E5F03612B4}">
  <ds:schemaRefs/>
</ds:datastoreItem>
</file>

<file path=docProps/app.xml><?xml version="1.0" encoding="utf-8"?>
<Properties xmlns="http://schemas.openxmlformats.org/officeDocument/2006/extended-properties" xmlns:vt="http://schemas.openxmlformats.org/officeDocument/2006/docPropsVTypes">
  <Template>Normal</Template>
  <Pages>7</Pages>
  <Words>640</Words>
  <Characters>3649</Characters>
  <Lines>30</Lines>
  <Paragraphs>8</Paragraphs>
  <TotalTime>1</TotalTime>
  <ScaleCrop>false</ScaleCrop>
  <LinksUpToDate>false</LinksUpToDate>
  <CharactersWithSpaces>4281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2022-10-09T05:31:00Z</dcterms:created>
  <dc:creator>ytsnv001</dc:creator>
  <cp:lastModifiedBy>Administrator</cp:lastModifiedBy>
  <cp:lastPrinted>2022-10-10T09:17:00Z</cp:lastPrinted>
  <dcterms:modified xsi:type="dcterms:W3CDTF">2023-08-25T06:10:08Z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FB168CC178A2414DBB5064549379E70A</vt:lpwstr>
  </property>
</Properties>
</file>